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17EAB" w:rsidRPr="006C2472" w:rsidRDefault="00371AC2" w:rsidP="006C2472">
      <w:pPr>
        <w:pStyle w:val="MDPI52figure"/>
      </w:pPr>
      <w:r w:rsidRPr="006C2472">
        <w:drawing>
          <wp:inline distT="0" distB="0" distL="0" distR="0" wp14:anchorId="0DF08C27">
            <wp:extent cx="5400000" cy="6127200"/>
            <wp:effectExtent l="0" t="0" r="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00" cy="6127200"/>
                    </a:xfrm>
                    <a:prstGeom prst="rect">
                      <a:avLst/>
                    </a:prstGeom>
                    <a:noFill/>
                  </pic:spPr>
                </pic:pic>
              </a:graphicData>
            </a:graphic>
          </wp:inline>
        </w:drawing>
      </w:r>
    </w:p>
    <w:p w:rsidR="00371AC2" w:rsidRPr="006C2472" w:rsidRDefault="006C2472" w:rsidP="006C2472">
      <w:pPr>
        <w:pStyle w:val="MDPI51figurecaption"/>
      </w:pPr>
      <w:r w:rsidRPr="006C2472">
        <w:rPr>
          <w:b/>
          <w:bCs/>
        </w:rPr>
        <w:t>Figure S1.</w:t>
      </w:r>
      <w:r w:rsidR="00371AC2" w:rsidRPr="006C2472">
        <w:rPr>
          <w:b/>
          <w:bCs/>
        </w:rPr>
        <w:t xml:space="preserve"> </w:t>
      </w:r>
      <w:r w:rsidR="00371AC2" w:rsidRPr="006C2472">
        <w:t xml:space="preserve">Scheme of the </w:t>
      </w:r>
      <w:proofErr w:type="spellStart"/>
      <w:r w:rsidR="00371AC2" w:rsidRPr="006C2472">
        <w:rPr>
          <w:i/>
          <w:iCs/>
        </w:rPr>
        <w:t>Lmna</w:t>
      </w:r>
      <w:proofErr w:type="spellEnd"/>
      <w:r w:rsidR="00371AC2" w:rsidRPr="006C2472">
        <w:t xml:space="preserve"> gene and protein structure </w:t>
      </w:r>
      <w:r w:rsidRPr="006C2472">
        <w:rPr>
          <w:bCs/>
        </w:rPr>
        <w:t>(</w:t>
      </w:r>
      <w:r w:rsidR="00371AC2" w:rsidRPr="006C2472">
        <w:rPr>
          <w:b/>
          <w:bCs/>
        </w:rPr>
        <w:t>A</w:t>
      </w:r>
      <w:r w:rsidRPr="006C2472">
        <w:rPr>
          <w:bCs/>
        </w:rPr>
        <w:t>)</w:t>
      </w:r>
      <w:r w:rsidR="00371AC2" w:rsidRPr="006C2472">
        <w:t xml:space="preserve"> and the mutants generated in this work </w:t>
      </w:r>
      <w:r w:rsidRPr="006C2472">
        <w:rPr>
          <w:bCs/>
        </w:rPr>
        <w:t>(</w:t>
      </w:r>
      <w:r w:rsidR="00371AC2" w:rsidRPr="006C2472">
        <w:rPr>
          <w:b/>
          <w:bCs/>
        </w:rPr>
        <w:t>B</w:t>
      </w:r>
      <w:r w:rsidRPr="006C2472">
        <w:rPr>
          <w:bCs/>
        </w:rPr>
        <w:t>)</w:t>
      </w:r>
      <w:r w:rsidR="00371AC2" w:rsidRPr="006C2472">
        <w:t>.</w:t>
      </w:r>
    </w:p>
    <w:p w:rsidR="00371AC2" w:rsidRPr="006C2472" w:rsidRDefault="00371AC2" w:rsidP="006C2472">
      <w:pPr>
        <w:pStyle w:val="MDPI52figure"/>
      </w:pPr>
      <w:r w:rsidRPr="006C2472">
        <w:lastRenderedPageBreak/>
        <w:drawing>
          <wp:inline distT="0" distB="0" distL="0" distR="0" wp14:anchorId="4B8D2F63">
            <wp:extent cx="5400000" cy="56448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00" cy="5644800"/>
                    </a:xfrm>
                    <a:prstGeom prst="rect">
                      <a:avLst/>
                    </a:prstGeom>
                    <a:noFill/>
                  </pic:spPr>
                </pic:pic>
              </a:graphicData>
            </a:graphic>
          </wp:inline>
        </w:drawing>
      </w:r>
    </w:p>
    <w:p w:rsidR="00371AC2" w:rsidRPr="006C2472" w:rsidRDefault="006C2472" w:rsidP="006C2472">
      <w:pPr>
        <w:pStyle w:val="MDPI51figurecaption"/>
      </w:pPr>
      <w:r w:rsidRPr="006C2472">
        <w:rPr>
          <w:b/>
          <w:bCs/>
        </w:rPr>
        <w:t>Figure S2.</w:t>
      </w:r>
      <w:r w:rsidR="00371AC2" w:rsidRPr="006C2472">
        <w:rPr>
          <w:b/>
          <w:bCs/>
        </w:rPr>
        <w:t xml:space="preserve"> </w:t>
      </w:r>
      <w:r w:rsidR="00371AC2" w:rsidRPr="006C2472">
        <w:t xml:space="preserve">Generation of 3D skeletal muscle models. </w:t>
      </w:r>
      <w:r w:rsidRPr="006C2472">
        <w:rPr>
          <w:bCs/>
        </w:rPr>
        <w:t>(</w:t>
      </w:r>
      <w:r w:rsidR="00371AC2" w:rsidRPr="006C2472">
        <w:rPr>
          <w:b/>
          <w:bCs/>
        </w:rPr>
        <w:t>A</w:t>
      </w:r>
      <w:r w:rsidRPr="006C2472">
        <w:rPr>
          <w:bCs/>
        </w:rPr>
        <w:t>)</w:t>
      </w:r>
      <w:r w:rsidR="00371AC2" w:rsidRPr="006C2472">
        <w:t xml:space="preserve"> Schematic view of the photo-mold patterning technique used to fabricate the in vitro 3D model. Cells were mixed with a photopolymerizable gelatin-based solution and, then, cell-laden solution was patterned by </w:t>
      </w:r>
      <w:proofErr w:type="spellStart"/>
      <w:r w:rsidR="00371AC2" w:rsidRPr="006C2472">
        <w:t>microscaled</w:t>
      </w:r>
      <w:proofErr w:type="spellEnd"/>
      <w:r w:rsidR="00371AC2" w:rsidRPr="006C2472">
        <w:t xml:space="preserve"> mold. A 3D patterned hydrogel was obtained, where cells are encapsulated, by polymerizing the hydrogel under UV light. </w:t>
      </w:r>
      <w:r w:rsidRPr="006C2472">
        <w:rPr>
          <w:bCs/>
        </w:rPr>
        <w:t>(</w:t>
      </w:r>
      <w:r w:rsidR="00371AC2" w:rsidRPr="006C2472">
        <w:rPr>
          <w:b/>
          <w:bCs/>
        </w:rPr>
        <w:t>B</w:t>
      </w:r>
      <w:r w:rsidRPr="006C2472">
        <w:rPr>
          <w:bCs/>
        </w:rPr>
        <w:t>)</w:t>
      </w:r>
      <w:r w:rsidR="00371AC2" w:rsidRPr="006C2472">
        <w:t xml:space="preserve"> Images of the encapsulated clones in the 3D pattern at day 3, detected by phalloidin </w:t>
      </w:r>
      <w:r w:rsidRPr="006C2472">
        <w:t>(</w:t>
      </w:r>
      <w:r w:rsidR="00371AC2" w:rsidRPr="006C2472">
        <w:t>red</w:t>
      </w:r>
      <w:r w:rsidRPr="006C2472">
        <w:t>)</w:t>
      </w:r>
      <w:r w:rsidR="00371AC2" w:rsidRPr="006C2472">
        <w:t xml:space="preserve"> and DAPI </w:t>
      </w:r>
      <w:r w:rsidRPr="006C2472">
        <w:t>(</w:t>
      </w:r>
      <w:r w:rsidR="00371AC2" w:rsidRPr="006C2472">
        <w:t>grey</w:t>
      </w:r>
      <w:r w:rsidRPr="006C2472">
        <w:t>)</w:t>
      </w:r>
      <w:r w:rsidR="00371AC2" w:rsidRPr="006C2472">
        <w:t xml:space="preserve"> staining. Control and Null samples correspond to 459-A6 and g12Lm2-3 clones, </w:t>
      </w:r>
      <w:proofErr w:type="spellStart"/>
      <w:r w:rsidR="00371AC2" w:rsidRPr="006C2472">
        <w:t>respectivelly</w:t>
      </w:r>
      <w:proofErr w:type="spellEnd"/>
      <w:r w:rsidR="00371AC2" w:rsidRPr="006C2472">
        <w:t>.</w:t>
      </w:r>
    </w:p>
    <w:p w:rsidR="00371AC2" w:rsidRPr="006C2472" w:rsidRDefault="00371AC2" w:rsidP="006C2472">
      <w:pPr>
        <w:adjustRightInd w:val="0"/>
        <w:snapToGrid w:val="0"/>
        <w:rPr>
          <w:lang w:val="en-US"/>
        </w:rPr>
      </w:pPr>
      <w:r w:rsidRPr="006C2472">
        <w:rPr>
          <w:lang w:val="en-US"/>
        </w:rPr>
        <w:br w:type="page"/>
      </w:r>
    </w:p>
    <w:p w:rsidR="00371AC2" w:rsidRPr="006C2472" w:rsidRDefault="00371AC2" w:rsidP="006C2472">
      <w:pPr>
        <w:pStyle w:val="MDPI52figure"/>
      </w:pPr>
      <w:r w:rsidRPr="006C2472">
        <w:lastRenderedPageBreak/>
        <w:drawing>
          <wp:inline distT="0" distB="0" distL="0" distR="0" wp14:anchorId="3A2E93F6">
            <wp:extent cx="5400000" cy="4474800"/>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4474800"/>
                    </a:xfrm>
                    <a:prstGeom prst="rect">
                      <a:avLst/>
                    </a:prstGeom>
                    <a:noFill/>
                  </pic:spPr>
                </pic:pic>
              </a:graphicData>
            </a:graphic>
          </wp:inline>
        </w:drawing>
      </w:r>
    </w:p>
    <w:p w:rsidR="00371AC2" w:rsidRPr="006C2472" w:rsidRDefault="006C2472" w:rsidP="006C2472">
      <w:pPr>
        <w:pStyle w:val="MDPI51figurecaption"/>
      </w:pPr>
      <w:r w:rsidRPr="006C2472">
        <w:rPr>
          <w:b/>
          <w:bCs/>
        </w:rPr>
        <w:t>Figure S3.</w:t>
      </w:r>
      <w:r w:rsidR="00371AC2" w:rsidRPr="006C2472">
        <w:rPr>
          <w:b/>
          <w:bCs/>
        </w:rPr>
        <w:t xml:space="preserve"> </w:t>
      </w:r>
      <w:r w:rsidR="00371AC2" w:rsidRPr="006C2472">
        <w:t xml:space="preserve">Deletions/insertions detected in C2C12 pools and clones. Graphs in left panels show the percentage of sequences with different changes in the number of bases detected by deep sequencing in pools transfected with Cas9 plus sg10 </w:t>
      </w:r>
      <w:r w:rsidRPr="006C2472">
        <w:t>(</w:t>
      </w:r>
      <w:r w:rsidR="00371AC2" w:rsidRPr="006C2472">
        <w:t>upper graph</w:t>
      </w:r>
      <w:r w:rsidRPr="006C2472">
        <w:t>)</w:t>
      </w:r>
      <w:r w:rsidR="00371AC2" w:rsidRPr="006C2472">
        <w:t xml:space="preserve">, sg11 </w:t>
      </w:r>
      <w:r w:rsidRPr="006C2472">
        <w:t>(</w:t>
      </w:r>
      <w:r w:rsidR="00371AC2" w:rsidRPr="006C2472">
        <w:t>middle graph</w:t>
      </w:r>
      <w:r w:rsidRPr="006C2472">
        <w:t>)</w:t>
      </w:r>
      <w:r w:rsidR="00371AC2" w:rsidRPr="006C2472">
        <w:t xml:space="preserve"> and sg12 </w:t>
      </w:r>
      <w:r w:rsidRPr="006C2472">
        <w:t>(</w:t>
      </w:r>
      <w:r w:rsidR="00371AC2" w:rsidRPr="006C2472">
        <w:t>bottom graph</w:t>
      </w:r>
      <w:r w:rsidRPr="006C2472">
        <w:t>)</w:t>
      </w:r>
      <w:r w:rsidR="00371AC2" w:rsidRPr="006C2472">
        <w:t xml:space="preserve">. Second </w:t>
      </w:r>
      <w:r w:rsidRPr="006C2472">
        <w:t>(</w:t>
      </w:r>
      <w:r w:rsidR="00371AC2" w:rsidRPr="006C2472">
        <w:t>pools</w:t>
      </w:r>
      <w:r w:rsidRPr="006C2472">
        <w:t>)</w:t>
      </w:r>
      <w:r w:rsidR="00371AC2" w:rsidRPr="006C2472">
        <w:t xml:space="preserve"> and third </w:t>
      </w:r>
      <w:r w:rsidRPr="006C2472">
        <w:t>(</w:t>
      </w:r>
      <w:r w:rsidR="00371AC2" w:rsidRPr="006C2472">
        <w:t>clones</w:t>
      </w:r>
      <w:r w:rsidRPr="006C2472">
        <w:t>)</w:t>
      </w:r>
      <w:r w:rsidR="00371AC2" w:rsidRPr="006C2472">
        <w:t xml:space="preserve"> columns of graphs show the percentage of sequences or clones, respectively, with different changes detected by TIDE. In the second column, data represent the mean +/</w:t>
      </w:r>
      <w:r>
        <w:t>−</w:t>
      </w:r>
      <w:r w:rsidR="00371AC2" w:rsidRPr="006C2472">
        <w:t xml:space="preserve"> standard errors of 6 pools per experiment.</w:t>
      </w:r>
    </w:p>
    <w:p w:rsidR="00371AC2" w:rsidRPr="006C2472" w:rsidRDefault="00371AC2" w:rsidP="006C2472">
      <w:pPr>
        <w:adjustRightInd w:val="0"/>
        <w:snapToGrid w:val="0"/>
        <w:rPr>
          <w:lang w:val="en-US"/>
        </w:rPr>
      </w:pPr>
      <w:r w:rsidRPr="006C2472">
        <w:rPr>
          <w:lang w:val="en-US"/>
        </w:rPr>
        <w:br w:type="page"/>
      </w:r>
    </w:p>
    <w:p w:rsidR="00371AC2" w:rsidRPr="006C2472" w:rsidRDefault="00371AC2" w:rsidP="006C2472">
      <w:pPr>
        <w:pStyle w:val="MDPI52figure"/>
      </w:pPr>
      <w:r w:rsidRPr="006C2472">
        <w:lastRenderedPageBreak/>
        <w:drawing>
          <wp:inline distT="0" distB="0" distL="0" distR="0" wp14:anchorId="0F3A15A2">
            <wp:extent cx="3960000" cy="7606800"/>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0000" cy="7606800"/>
                    </a:xfrm>
                    <a:prstGeom prst="rect">
                      <a:avLst/>
                    </a:prstGeom>
                    <a:noFill/>
                  </pic:spPr>
                </pic:pic>
              </a:graphicData>
            </a:graphic>
          </wp:inline>
        </w:drawing>
      </w:r>
    </w:p>
    <w:p w:rsidR="0073380E" w:rsidRPr="006C2472" w:rsidRDefault="0073380E" w:rsidP="006C2472">
      <w:pPr>
        <w:adjustRightInd w:val="0"/>
        <w:snapToGrid w:val="0"/>
        <w:jc w:val="center"/>
        <w:rPr>
          <w:lang w:val="en-US"/>
        </w:rPr>
      </w:pPr>
    </w:p>
    <w:p w:rsidR="0073380E" w:rsidRPr="006C2472" w:rsidRDefault="006C2472" w:rsidP="006C2472">
      <w:pPr>
        <w:pStyle w:val="MDPI51figurecaption"/>
      </w:pPr>
      <w:r w:rsidRPr="006C2472">
        <w:rPr>
          <w:b/>
          <w:bCs/>
        </w:rPr>
        <w:t>Figure S4.</w:t>
      </w:r>
      <w:r w:rsidR="00371AC2" w:rsidRPr="006C2472">
        <w:rPr>
          <w:b/>
        </w:rPr>
        <w:t xml:space="preserve"> </w:t>
      </w:r>
      <w:proofErr w:type="spellStart"/>
      <w:r w:rsidR="00371AC2" w:rsidRPr="006C2472">
        <w:t>Lamin</w:t>
      </w:r>
      <w:proofErr w:type="spellEnd"/>
      <w:r w:rsidR="00371AC2" w:rsidRPr="006C2472">
        <w:t xml:space="preserve"> A-C subcellular localization and expression in Delta mutants. Cells were </w:t>
      </w:r>
      <w:proofErr w:type="spellStart"/>
      <w:r w:rsidR="00371AC2" w:rsidRPr="006C2472">
        <w:t>immunostained</w:t>
      </w:r>
      <w:proofErr w:type="spellEnd"/>
      <w:r w:rsidR="00371AC2" w:rsidRPr="006C2472">
        <w:t xml:space="preserve"> for LMNA/C </w:t>
      </w:r>
      <w:r w:rsidRPr="006C2472">
        <w:t>(</w:t>
      </w:r>
      <w:r w:rsidR="00371AC2" w:rsidRPr="006C2472">
        <w:t>green</w:t>
      </w:r>
      <w:r w:rsidRPr="006C2472">
        <w:t>)</w:t>
      </w:r>
      <w:r w:rsidR="00371AC2" w:rsidRPr="006C2472">
        <w:t xml:space="preserve"> and nuclei was detected by DAPI staining </w:t>
      </w:r>
      <w:r w:rsidRPr="006C2472">
        <w:t>(</w:t>
      </w:r>
      <w:r w:rsidR="00371AC2" w:rsidRPr="006C2472">
        <w:t>blue</w:t>
      </w:r>
      <w:r w:rsidRPr="006C2472">
        <w:t>)</w:t>
      </w:r>
      <w:r w:rsidR="00371AC2" w:rsidRPr="006C2472">
        <w:t>. Representative single confocal images from nuclei are shown for each Delta mutant. Scale bar = 8 µm.</w:t>
      </w:r>
    </w:p>
    <w:p w:rsidR="00371AC2" w:rsidRPr="006C2472" w:rsidRDefault="00D8151E" w:rsidP="006C2472">
      <w:pPr>
        <w:pStyle w:val="MDPI52figure"/>
      </w:pPr>
      <w:r w:rsidRPr="006C2472">
        <w:lastRenderedPageBreak/>
        <w:drawing>
          <wp:inline distT="0" distB="0" distL="0" distR="0" wp14:anchorId="13ABF4F5">
            <wp:extent cx="5400000" cy="71748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7174800"/>
                    </a:xfrm>
                    <a:prstGeom prst="rect">
                      <a:avLst/>
                    </a:prstGeom>
                    <a:noFill/>
                  </pic:spPr>
                </pic:pic>
              </a:graphicData>
            </a:graphic>
          </wp:inline>
        </w:drawing>
      </w:r>
    </w:p>
    <w:p w:rsidR="00D8151E" w:rsidRPr="006C2472" w:rsidRDefault="006C2472" w:rsidP="006C2472">
      <w:pPr>
        <w:pStyle w:val="MDPI51figurecaption"/>
      </w:pPr>
      <w:r w:rsidRPr="006C2472">
        <w:rPr>
          <w:b/>
          <w:bCs/>
        </w:rPr>
        <w:t>Figure S5A.</w:t>
      </w:r>
      <w:r w:rsidR="00D8151E" w:rsidRPr="006C2472">
        <w:rPr>
          <w:b/>
        </w:rPr>
        <w:t xml:space="preserve"> </w:t>
      </w:r>
      <w:r w:rsidR="00D8151E" w:rsidRPr="006C2472">
        <w:t xml:space="preserve">Quantification of </w:t>
      </w:r>
      <w:proofErr w:type="spellStart"/>
      <w:r w:rsidR="00D8151E" w:rsidRPr="006C2472">
        <w:t>Lamin</w:t>
      </w:r>
      <w:proofErr w:type="spellEnd"/>
      <w:r w:rsidR="00D8151E" w:rsidRPr="006C2472">
        <w:t xml:space="preserve"> A and C protein levels. Pictures show four independent biological replicates at different exposure times. α-tubulin was used as loading control. Quantification of </w:t>
      </w:r>
      <w:proofErr w:type="spellStart"/>
      <w:r w:rsidR="00D8151E" w:rsidRPr="006C2472">
        <w:t>Lamin</w:t>
      </w:r>
      <w:proofErr w:type="spellEnd"/>
      <w:r w:rsidR="00D8151E" w:rsidRPr="006C2472">
        <w:t xml:space="preserve"> A/C signal in the three/four independent analyses, by mutant, is shown on the graph. Bars are mean ± SEM.</w:t>
      </w:r>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13A173FA">
            <wp:extent cx="5400000" cy="75672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00" cy="7567200"/>
                    </a:xfrm>
                    <a:prstGeom prst="rect">
                      <a:avLst/>
                    </a:prstGeom>
                    <a:noFill/>
                  </pic:spPr>
                </pic:pic>
              </a:graphicData>
            </a:graphic>
          </wp:inline>
        </w:drawing>
      </w:r>
    </w:p>
    <w:p w:rsidR="00D8151E" w:rsidRPr="006C2472" w:rsidRDefault="006C2472" w:rsidP="006C2472">
      <w:pPr>
        <w:pStyle w:val="MDPI51figurecaption"/>
      </w:pPr>
      <w:r w:rsidRPr="006C2472">
        <w:rPr>
          <w:b/>
          <w:bCs/>
        </w:rPr>
        <w:t>Figure S5B.</w:t>
      </w:r>
      <w:r w:rsidR="00D8151E" w:rsidRPr="006C2472">
        <w:rPr>
          <w:b/>
        </w:rPr>
        <w:t xml:space="preserve"> </w:t>
      </w:r>
      <w:r w:rsidR="00D8151E" w:rsidRPr="006C2472">
        <w:t xml:space="preserve">Detection of phosphorylated </w:t>
      </w:r>
      <w:r w:rsidRPr="006C2472">
        <w:t>(</w:t>
      </w:r>
      <w:proofErr w:type="spellStart"/>
      <w:r w:rsidR="00D8151E" w:rsidRPr="006C2472">
        <w:t>pERK</w:t>
      </w:r>
      <w:proofErr w:type="spellEnd"/>
      <w:r w:rsidRPr="006C2472">
        <w:t>)</w:t>
      </w:r>
      <w:r w:rsidR="00D8151E" w:rsidRPr="006C2472">
        <w:t xml:space="preserve"> and total </w:t>
      </w:r>
      <w:r w:rsidRPr="006C2472">
        <w:t>(</w:t>
      </w:r>
      <w:r w:rsidR="00D8151E" w:rsidRPr="006C2472">
        <w:t>ERK</w:t>
      </w:r>
      <w:r w:rsidRPr="006C2472">
        <w:t>)</w:t>
      </w:r>
      <w:r w:rsidR="00D8151E" w:rsidRPr="006C2472">
        <w:t xml:space="preserve"> ERK1/2 in </w:t>
      </w:r>
      <w:proofErr w:type="spellStart"/>
      <w:r w:rsidR="00D8151E" w:rsidRPr="006C2472">
        <w:rPr>
          <w:i/>
          <w:iCs/>
        </w:rPr>
        <w:t>Lmna</w:t>
      </w:r>
      <w:proofErr w:type="spellEnd"/>
      <w:r w:rsidR="00D8151E" w:rsidRPr="006C2472">
        <w:t xml:space="preserve"> exon 4 mutants. Pictures show three independent biological replicates at different exposure times. α-tubulin or Ponceau was used as loading control. Quantification of ERK1/2 signal in the three independent analyses, by mutant, is shown on the graph. Bars are mean ± </w:t>
      </w:r>
      <w:proofErr w:type="gramStart"/>
      <w:r w:rsidR="00D8151E" w:rsidRPr="006C2472">
        <w:t>SEM .</w:t>
      </w:r>
      <w:proofErr w:type="gramEnd"/>
    </w:p>
    <w:p w:rsidR="00D8151E" w:rsidRPr="006C2472" w:rsidRDefault="00D8151E" w:rsidP="006C2472">
      <w:pPr>
        <w:adjustRightInd w:val="0"/>
        <w:snapToGrid w:val="0"/>
        <w:rPr>
          <w:lang w:val="en-US"/>
        </w:rPr>
      </w:pPr>
      <w:r w:rsidRPr="006C2472">
        <w:rPr>
          <w:lang w:val="en-US"/>
        </w:rPr>
        <w:br w:type="page"/>
      </w:r>
    </w:p>
    <w:p w:rsidR="00371AC2" w:rsidRPr="006C2472" w:rsidRDefault="00D8151E" w:rsidP="006C2472">
      <w:pPr>
        <w:pStyle w:val="MDPI52figure"/>
      </w:pPr>
      <w:r w:rsidRPr="006C2472">
        <w:lastRenderedPageBreak/>
        <w:drawing>
          <wp:inline distT="0" distB="0" distL="0" distR="0" wp14:anchorId="3D52B207">
            <wp:extent cx="5400000" cy="75672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00" cy="7567200"/>
                    </a:xfrm>
                    <a:prstGeom prst="rect">
                      <a:avLst/>
                    </a:prstGeom>
                    <a:noFill/>
                  </pic:spPr>
                </pic:pic>
              </a:graphicData>
            </a:graphic>
          </wp:inline>
        </w:drawing>
      </w:r>
    </w:p>
    <w:p w:rsidR="00D8151E" w:rsidRPr="006C2472" w:rsidRDefault="006C2472" w:rsidP="006C2472">
      <w:pPr>
        <w:pStyle w:val="MDPI51figurecaption"/>
      </w:pPr>
      <w:r w:rsidRPr="006C2472">
        <w:rPr>
          <w:b/>
          <w:bCs/>
        </w:rPr>
        <w:t>Figure S5C.</w:t>
      </w:r>
      <w:r w:rsidR="00D8151E" w:rsidRPr="006C2472">
        <w:rPr>
          <w:b/>
        </w:rPr>
        <w:t xml:space="preserve"> </w:t>
      </w:r>
      <w:r w:rsidR="00D8151E" w:rsidRPr="006C2472">
        <w:t xml:space="preserve">Detection of phosphorylated </w:t>
      </w:r>
      <w:r w:rsidRPr="006C2472">
        <w:t>(</w:t>
      </w:r>
      <w:proofErr w:type="spellStart"/>
      <w:r w:rsidR="00D8151E" w:rsidRPr="006C2472">
        <w:t>pAkt</w:t>
      </w:r>
      <w:proofErr w:type="spellEnd"/>
      <w:r w:rsidRPr="006C2472">
        <w:t>)</w:t>
      </w:r>
      <w:r w:rsidR="00D8151E" w:rsidRPr="006C2472">
        <w:t xml:space="preserve"> and total </w:t>
      </w:r>
      <w:r w:rsidRPr="006C2472">
        <w:t>(</w:t>
      </w:r>
      <w:proofErr w:type="spellStart"/>
      <w:r w:rsidR="00D8151E" w:rsidRPr="006C2472">
        <w:t>Akt</w:t>
      </w:r>
      <w:proofErr w:type="spellEnd"/>
      <w:r w:rsidRPr="006C2472">
        <w:t>)</w:t>
      </w:r>
      <w:r w:rsidR="00D8151E" w:rsidRPr="006C2472">
        <w:t xml:space="preserve"> </w:t>
      </w:r>
      <w:proofErr w:type="spellStart"/>
      <w:r w:rsidR="00D8151E" w:rsidRPr="006C2472">
        <w:t>Akt</w:t>
      </w:r>
      <w:proofErr w:type="spellEnd"/>
      <w:r w:rsidR="00D8151E" w:rsidRPr="006C2472">
        <w:t xml:space="preserve"> in </w:t>
      </w:r>
      <w:proofErr w:type="spellStart"/>
      <w:r w:rsidR="00D8151E" w:rsidRPr="006C2472">
        <w:rPr>
          <w:i/>
          <w:iCs/>
        </w:rPr>
        <w:t>Lmna</w:t>
      </w:r>
      <w:proofErr w:type="spellEnd"/>
      <w:r w:rsidR="00D8151E" w:rsidRPr="006C2472">
        <w:t xml:space="preserve"> exon 4 mutants. Pictures show three independent biological replicates at different exposure times. α-tubulin or Ponceau was used as loading control. Quantification of </w:t>
      </w:r>
      <w:proofErr w:type="spellStart"/>
      <w:r w:rsidR="00D8151E" w:rsidRPr="006C2472">
        <w:t>Akt</w:t>
      </w:r>
      <w:proofErr w:type="spellEnd"/>
      <w:r w:rsidR="00D8151E" w:rsidRPr="006C2472">
        <w:t xml:space="preserve"> signal in the three independent analyses, by mutant, is shown on the graph. Bars are mean ± </w:t>
      </w:r>
      <w:proofErr w:type="gramStart"/>
      <w:r w:rsidR="00D8151E" w:rsidRPr="006C2472">
        <w:t>SEM .</w:t>
      </w:r>
      <w:proofErr w:type="gramEnd"/>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1DBFD1CB">
            <wp:extent cx="5400000" cy="70992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00" cy="7099200"/>
                    </a:xfrm>
                    <a:prstGeom prst="rect">
                      <a:avLst/>
                    </a:prstGeom>
                    <a:noFill/>
                  </pic:spPr>
                </pic:pic>
              </a:graphicData>
            </a:graphic>
          </wp:inline>
        </w:drawing>
      </w:r>
    </w:p>
    <w:p w:rsidR="00D8151E" w:rsidRPr="006C2472" w:rsidRDefault="006C2472" w:rsidP="006C2472">
      <w:pPr>
        <w:pStyle w:val="MDPI51figurecaption"/>
      </w:pPr>
      <w:r w:rsidRPr="006C2472">
        <w:rPr>
          <w:b/>
          <w:bCs/>
        </w:rPr>
        <w:t>Figure S5D.</w:t>
      </w:r>
      <w:r w:rsidR="00D8151E" w:rsidRPr="006C2472">
        <w:rPr>
          <w:b/>
        </w:rPr>
        <w:t xml:space="preserve"> </w:t>
      </w:r>
      <w:r w:rsidR="00D8151E" w:rsidRPr="006C2472">
        <w:t>Quantification of SUN1 protein levels. Pictures show three independent biological replicates at different exposure times. α-tubulin was used as loading control. Quantification of SUN1 signal in the three independent analyses, by mutant, is shown on the graph. Bars are mean ± SEM.</w:t>
      </w:r>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6D67EA08">
            <wp:extent cx="5400000" cy="71496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00" cy="7149600"/>
                    </a:xfrm>
                    <a:prstGeom prst="rect">
                      <a:avLst/>
                    </a:prstGeom>
                    <a:noFill/>
                  </pic:spPr>
                </pic:pic>
              </a:graphicData>
            </a:graphic>
          </wp:inline>
        </w:drawing>
      </w:r>
    </w:p>
    <w:p w:rsidR="00D8151E" w:rsidRPr="006C2472" w:rsidRDefault="006C2472" w:rsidP="006C2472">
      <w:pPr>
        <w:pStyle w:val="MDPI51figurecaption"/>
      </w:pPr>
      <w:r w:rsidRPr="006C2472">
        <w:rPr>
          <w:b/>
          <w:bCs/>
        </w:rPr>
        <w:t>Figure S5E.</w:t>
      </w:r>
      <w:r w:rsidR="00D8151E" w:rsidRPr="006C2472">
        <w:rPr>
          <w:b/>
        </w:rPr>
        <w:t xml:space="preserve"> </w:t>
      </w:r>
      <w:r w:rsidR="00D8151E" w:rsidRPr="006C2472">
        <w:t>Quantification of SUN2 protein levels. Pictures show three independent biological replicates at different exposure times. α-tubulin was used as loading control. Quantification of SUN2 signal in the three independent analyses, by mutant, is shown on the graph. Bars are mean ± SEM.</w:t>
      </w:r>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3EDD7C9C">
            <wp:extent cx="5400000" cy="7405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7405200"/>
                    </a:xfrm>
                    <a:prstGeom prst="rect">
                      <a:avLst/>
                    </a:prstGeom>
                    <a:noFill/>
                  </pic:spPr>
                </pic:pic>
              </a:graphicData>
            </a:graphic>
          </wp:inline>
        </w:drawing>
      </w:r>
    </w:p>
    <w:p w:rsidR="00D8151E" w:rsidRPr="006C2472" w:rsidRDefault="006C2472" w:rsidP="006C2472">
      <w:pPr>
        <w:pStyle w:val="MDPI51figurecaption"/>
      </w:pPr>
      <w:r w:rsidRPr="006C2472">
        <w:rPr>
          <w:b/>
          <w:bCs/>
        </w:rPr>
        <w:t>Figure S5F.</w:t>
      </w:r>
      <w:r w:rsidR="00D8151E" w:rsidRPr="006C2472">
        <w:rPr>
          <w:b/>
        </w:rPr>
        <w:t xml:space="preserve"> </w:t>
      </w:r>
      <w:r w:rsidR="00D8151E" w:rsidRPr="006C2472">
        <w:t xml:space="preserve">Quantification of γH2AX protein levels in </w:t>
      </w:r>
      <w:proofErr w:type="spellStart"/>
      <w:r w:rsidR="00D8151E" w:rsidRPr="006C2472">
        <w:rPr>
          <w:i/>
          <w:iCs/>
        </w:rPr>
        <w:t>Lmna</w:t>
      </w:r>
      <w:proofErr w:type="spellEnd"/>
      <w:r w:rsidR="00D8151E" w:rsidRPr="006C2472">
        <w:t xml:space="preserve"> exon 4 mutants. Pictures show four independent biological replicates at different exposure times. α-tubulin was used as loading control. Quantification of γH2AX signal in the three/four independent analyses, by mutant, is shown on the graph. Bars are mean ± SEM.</w:t>
      </w:r>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30A1B0EA">
            <wp:extent cx="5400000" cy="43524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000" cy="4352400"/>
                    </a:xfrm>
                    <a:prstGeom prst="rect">
                      <a:avLst/>
                    </a:prstGeom>
                    <a:noFill/>
                  </pic:spPr>
                </pic:pic>
              </a:graphicData>
            </a:graphic>
          </wp:inline>
        </w:drawing>
      </w:r>
    </w:p>
    <w:p w:rsidR="00D8151E" w:rsidRPr="006C2472" w:rsidRDefault="006C2472" w:rsidP="006C2472">
      <w:pPr>
        <w:pStyle w:val="MDPI51figurecaption"/>
      </w:pPr>
      <w:r w:rsidRPr="006C2472">
        <w:rPr>
          <w:b/>
          <w:bCs/>
        </w:rPr>
        <w:t>Figure S5G.</w:t>
      </w:r>
      <w:r w:rsidR="00D8151E" w:rsidRPr="006C2472">
        <w:rPr>
          <w:b/>
        </w:rPr>
        <w:t xml:space="preserve"> </w:t>
      </w:r>
      <w:r w:rsidR="00D8151E" w:rsidRPr="006C2472">
        <w:t>Quantification of γH2AX protein levels in human myoblasts. Pictures show three independent biological replicates at different exposure times. α-tubulin was used as loading control. Quantification of γH2AX signal in the three independent analyses is shown on the graph. Bars are mean ± SEM.</w:t>
      </w:r>
    </w:p>
    <w:p w:rsidR="00D8151E" w:rsidRPr="006C2472" w:rsidRDefault="00D8151E" w:rsidP="006C2472">
      <w:pPr>
        <w:adjustRightInd w:val="0"/>
        <w:snapToGrid w:val="0"/>
        <w:rPr>
          <w:lang w:val="en-US"/>
        </w:rPr>
      </w:pPr>
      <w:r w:rsidRPr="006C2472">
        <w:rPr>
          <w:lang w:val="en-US"/>
        </w:rPr>
        <w:br w:type="page"/>
      </w:r>
    </w:p>
    <w:p w:rsidR="00D8151E" w:rsidRPr="006C2472" w:rsidRDefault="00D8151E" w:rsidP="006C2472">
      <w:pPr>
        <w:pStyle w:val="MDPI52figure"/>
      </w:pPr>
      <w:r w:rsidRPr="006C2472">
        <w:lastRenderedPageBreak/>
        <w:drawing>
          <wp:inline distT="0" distB="0" distL="0" distR="0" wp14:anchorId="2F1027C3">
            <wp:extent cx="2628000" cy="5950800"/>
            <wp:effectExtent l="0" t="0" r="127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28000" cy="5950800"/>
                    </a:xfrm>
                    <a:prstGeom prst="rect">
                      <a:avLst/>
                    </a:prstGeom>
                    <a:noFill/>
                  </pic:spPr>
                </pic:pic>
              </a:graphicData>
            </a:graphic>
          </wp:inline>
        </w:drawing>
      </w:r>
      <w:r w:rsidRPr="006C2472">
        <w:t xml:space="preserve">   </w:t>
      </w:r>
      <w:r w:rsidRPr="006C2472">
        <w:drawing>
          <wp:inline distT="0" distB="0" distL="0" distR="0" wp14:anchorId="4F238C57">
            <wp:extent cx="2628000" cy="5230800"/>
            <wp:effectExtent l="0" t="0" r="1270" b="825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28000" cy="5230800"/>
                    </a:xfrm>
                    <a:prstGeom prst="rect">
                      <a:avLst/>
                    </a:prstGeom>
                    <a:noFill/>
                  </pic:spPr>
                </pic:pic>
              </a:graphicData>
            </a:graphic>
          </wp:inline>
        </w:drawing>
      </w:r>
    </w:p>
    <w:p w:rsidR="00F050B1" w:rsidRPr="006C2472" w:rsidRDefault="006C2472" w:rsidP="006C2472">
      <w:pPr>
        <w:pStyle w:val="MDPI51figurecaption"/>
      </w:pPr>
      <w:r w:rsidRPr="006C2472">
        <w:rPr>
          <w:b/>
          <w:bCs/>
        </w:rPr>
        <w:t>Figure S6.</w:t>
      </w:r>
      <w:r w:rsidR="00F050B1" w:rsidRPr="006C2472">
        <w:rPr>
          <w:b/>
        </w:rPr>
        <w:t xml:space="preserve"> </w:t>
      </w:r>
      <w:r w:rsidR="00F050B1" w:rsidRPr="006C2472">
        <w:t xml:space="preserve">LMNB1 subcellular localization in </w:t>
      </w:r>
      <w:proofErr w:type="spellStart"/>
      <w:r w:rsidR="00F050B1" w:rsidRPr="006C2472">
        <w:rPr>
          <w:i/>
          <w:iCs/>
        </w:rPr>
        <w:t>Lmna</w:t>
      </w:r>
      <w:proofErr w:type="spellEnd"/>
      <w:r w:rsidR="00F050B1" w:rsidRPr="006C2472">
        <w:t xml:space="preserve"> exon 4 mutants. Representative single confocal images of the clones analyzed in this study showing </w:t>
      </w:r>
      <w:proofErr w:type="spellStart"/>
      <w:r w:rsidR="00F050B1" w:rsidRPr="006C2472">
        <w:t>Lamin</w:t>
      </w:r>
      <w:proofErr w:type="spellEnd"/>
      <w:r w:rsidR="00F050B1" w:rsidRPr="006C2472">
        <w:t xml:space="preserve"> B1 detected by immunofluorescence. Scale bar = 8 µm.</w:t>
      </w:r>
    </w:p>
    <w:p w:rsidR="00F050B1" w:rsidRPr="006C2472" w:rsidRDefault="00F050B1" w:rsidP="006C2472">
      <w:pPr>
        <w:adjustRightInd w:val="0"/>
        <w:snapToGrid w:val="0"/>
        <w:rPr>
          <w:lang w:val="en-US"/>
        </w:rPr>
      </w:pPr>
      <w:r w:rsidRPr="006C2472">
        <w:rPr>
          <w:lang w:val="en-US"/>
        </w:rPr>
        <w:br w:type="page"/>
      </w:r>
    </w:p>
    <w:p w:rsidR="00F050B1" w:rsidRPr="006C2472" w:rsidRDefault="00F050B1" w:rsidP="006C2472">
      <w:pPr>
        <w:pStyle w:val="MDPI52figure"/>
      </w:pPr>
      <w:r w:rsidRPr="006C2472">
        <w:rPr>
          <w:lang w:eastAsia="es-ES"/>
        </w:rPr>
        <w:lastRenderedPageBreak/>
        <w:drawing>
          <wp:inline distT="0" distB="0" distL="0" distR="0" wp14:anchorId="5CCE5194">
            <wp:extent cx="2628000" cy="5947200"/>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8000" cy="5947200"/>
                    </a:xfrm>
                    <a:prstGeom prst="rect">
                      <a:avLst/>
                    </a:prstGeom>
                    <a:noFill/>
                  </pic:spPr>
                </pic:pic>
              </a:graphicData>
            </a:graphic>
          </wp:inline>
        </w:drawing>
      </w:r>
      <w:r w:rsidRPr="006C2472">
        <w:t xml:space="preserve">    </w:t>
      </w:r>
      <w:r w:rsidRPr="006C2472">
        <w:rPr>
          <w:lang w:eastAsia="es-ES"/>
        </w:rPr>
        <w:drawing>
          <wp:inline distT="0" distB="0" distL="0" distR="0" wp14:anchorId="36D9447D">
            <wp:extent cx="2628000" cy="5230800"/>
            <wp:effectExtent l="0" t="0" r="127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000" cy="5230800"/>
                    </a:xfrm>
                    <a:prstGeom prst="rect">
                      <a:avLst/>
                    </a:prstGeom>
                    <a:noFill/>
                  </pic:spPr>
                </pic:pic>
              </a:graphicData>
            </a:graphic>
          </wp:inline>
        </w:drawing>
      </w:r>
    </w:p>
    <w:p w:rsidR="00F050B1" w:rsidRPr="006C2472" w:rsidRDefault="006C2472" w:rsidP="006C2472">
      <w:pPr>
        <w:pStyle w:val="MDPI51figurecaption"/>
      </w:pPr>
      <w:r w:rsidRPr="006C2472">
        <w:rPr>
          <w:b/>
          <w:bCs/>
        </w:rPr>
        <w:t>Figure S7.</w:t>
      </w:r>
      <w:r w:rsidR="00F050B1" w:rsidRPr="006C2472">
        <w:rPr>
          <w:b/>
        </w:rPr>
        <w:t xml:space="preserve"> </w:t>
      </w:r>
      <w:proofErr w:type="spellStart"/>
      <w:r w:rsidR="00F050B1" w:rsidRPr="006C2472">
        <w:t>Emerin</w:t>
      </w:r>
      <w:proofErr w:type="spellEnd"/>
      <w:r w:rsidR="00F050B1" w:rsidRPr="006C2472">
        <w:t xml:space="preserve"> subcellular localization in </w:t>
      </w:r>
      <w:proofErr w:type="spellStart"/>
      <w:r w:rsidR="00F050B1" w:rsidRPr="006C2472">
        <w:rPr>
          <w:i/>
          <w:iCs/>
        </w:rPr>
        <w:t>Lmna</w:t>
      </w:r>
      <w:proofErr w:type="spellEnd"/>
      <w:r w:rsidR="00F050B1" w:rsidRPr="006C2472">
        <w:t xml:space="preserve"> exon 4 mutants. Representative single confocal images of the clones analyzed in this study showing </w:t>
      </w:r>
      <w:proofErr w:type="spellStart"/>
      <w:r w:rsidR="00F050B1" w:rsidRPr="006C2472">
        <w:t>Emerin</w:t>
      </w:r>
      <w:proofErr w:type="spellEnd"/>
      <w:r w:rsidR="00F050B1" w:rsidRPr="006C2472">
        <w:t xml:space="preserve"> detected by immunofluorescence. Scale bar = 8 µm.</w:t>
      </w:r>
    </w:p>
    <w:p w:rsidR="00F050B1" w:rsidRPr="006C2472" w:rsidRDefault="00F050B1" w:rsidP="006C2472">
      <w:pPr>
        <w:adjustRightInd w:val="0"/>
        <w:snapToGrid w:val="0"/>
        <w:rPr>
          <w:lang w:val="en-US"/>
        </w:rPr>
      </w:pPr>
      <w:r w:rsidRPr="006C2472">
        <w:rPr>
          <w:lang w:val="en-US"/>
        </w:rPr>
        <w:br w:type="page"/>
      </w:r>
    </w:p>
    <w:p w:rsidR="00F050B1" w:rsidRPr="006C2472" w:rsidRDefault="00F050B1" w:rsidP="006C2472">
      <w:pPr>
        <w:pStyle w:val="MDPI52figure"/>
      </w:pPr>
      <w:r w:rsidRPr="006C2472">
        <w:lastRenderedPageBreak/>
        <w:drawing>
          <wp:inline distT="0" distB="0" distL="0" distR="0" wp14:anchorId="60BA18EA">
            <wp:extent cx="4680000" cy="77940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0000" cy="7794000"/>
                    </a:xfrm>
                    <a:prstGeom prst="rect">
                      <a:avLst/>
                    </a:prstGeom>
                    <a:noFill/>
                  </pic:spPr>
                </pic:pic>
              </a:graphicData>
            </a:graphic>
          </wp:inline>
        </w:drawing>
      </w:r>
    </w:p>
    <w:p w:rsidR="00F050B1" w:rsidRPr="006C2472" w:rsidRDefault="006C2472" w:rsidP="006C2472">
      <w:pPr>
        <w:pStyle w:val="MDPI51figurecaption"/>
      </w:pPr>
      <w:r w:rsidRPr="006C2472">
        <w:rPr>
          <w:b/>
          <w:bCs/>
        </w:rPr>
        <w:t>Figure S8.</w:t>
      </w:r>
      <w:r w:rsidR="00F050B1" w:rsidRPr="006C2472">
        <w:rPr>
          <w:b/>
        </w:rPr>
        <w:t xml:space="preserve"> </w:t>
      </w:r>
      <w:r w:rsidR="00F050B1" w:rsidRPr="006C2472">
        <w:t xml:space="preserve">Myogenic differentiation is affected in 3D models. Representative pictures show, at 7 days post-differentiation, myosin heavy chain 7 </w:t>
      </w:r>
      <w:r w:rsidRPr="006C2472">
        <w:t>(</w:t>
      </w:r>
      <w:r w:rsidR="00F050B1" w:rsidRPr="006C2472">
        <w:t>green</w:t>
      </w:r>
      <w:r w:rsidRPr="006C2472">
        <w:t>)</w:t>
      </w:r>
      <w:r w:rsidR="00F050B1" w:rsidRPr="006C2472">
        <w:t xml:space="preserve">, nuclei </w:t>
      </w:r>
      <w:r w:rsidRPr="006C2472">
        <w:t>(</w:t>
      </w:r>
      <w:r w:rsidR="00F050B1" w:rsidRPr="006C2472">
        <w:t>blue</w:t>
      </w:r>
      <w:r w:rsidRPr="006C2472">
        <w:t>)</w:t>
      </w:r>
      <w:r w:rsidR="00F050B1" w:rsidRPr="006C2472">
        <w:t xml:space="preserve"> and phalloidin staining </w:t>
      </w:r>
      <w:r w:rsidRPr="006C2472">
        <w:t>(</w:t>
      </w:r>
      <w:r w:rsidR="00F050B1" w:rsidRPr="006C2472">
        <w:t>red</w:t>
      </w:r>
      <w:r w:rsidRPr="006C2472">
        <w:t>)</w:t>
      </w:r>
      <w:r w:rsidR="00F050B1" w:rsidRPr="006C2472">
        <w:t>. Control and Null samples correspond to 459-A6 and g12Lm2-3 clones. Scale bar = 50 µm.</w:t>
      </w:r>
    </w:p>
    <w:p w:rsidR="00615552" w:rsidRPr="006C2472" w:rsidRDefault="00615552" w:rsidP="006C2472">
      <w:pPr>
        <w:adjustRightInd w:val="0"/>
        <w:snapToGrid w:val="0"/>
        <w:rPr>
          <w:lang w:val="en-US"/>
        </w:rPr>
      </w:pPr>
      <w:r w:rsidRPr="006C2472">
        <w:rPr>
          <w:lang w:val="en-US"/>
        </w:rPr>
        <w:br w:type="page"/>
      </w:r>
    </w:p>
    <w:p w:rsidR="00F050B1" w:rsidRPr="006C2472" w:rsidRDefault="00615552" w:rsidP="006C2472">
      <w:pPr>
        <w:pStyle w:val="MDPI52figure"/>
      </w:pPr>
      <w:r w:rsidRPr="006C2472">
        <w:rPr>
          <w:lang w:eastAsia="es-ES"/>
        </w:rPr>
        <w:lastRenderedPageBreak/>
        <w:drawing>
          <wp:inline distT="0" distB="0" distL="0" distR="0" wp14:anchorId="139DBC8F">
            <wp:extent cx="2628000" cy="5947200"/>
            <wp:effectExtent l="0" t="0" r="127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28000" cy="5947200"/>
                    </a:xfrm>
                    <a:prstGeom prst="rect">
                      <a:avLst/>
                    </a:prstGeom>
                    <a:noFill/>
                  </pic:spPr>
                </pic:pic>
              </a:graphicData>
            </a:graphic>
          </wp:inline>
        </w:drawing>
      </w:r>
      <w:r w:rsidRPr="006C2472">
        <w:t xml:space="preserve">  </w:t>
      </w:r>
      <w:r w:rsidRPr="006C2472">
        <w:rPr>
          <w:lang w:eastAsia="es-ES"/>
        </w:rPr>
        <w:drawing>
          <wp:inline distT="0" distB="0" distL="0" distR="0" wp14:anchorId="3EFE7118">
            <wp:extent cx="2628000" cy="5230800"/>
            <wp:effectExtent l="0" t="0" r="1270"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28000" cy="5230800"/>
                    </a:xfrm>
                    <a:prstGeom prst="rect">
                      <a:avLst/>
                    </a:prstGeom>
                    <a:noFill/>
                  </pic:spPr>
                </pic:pic>
              </a:graphicData>
            </a:graphic>
          </wp:inline>
        </w:drawing>
      </w:r>
    </w:p>
    <w:p w:rsidR="00615552" w:rsidRPr="006C2472" w:rsidRDefault="006C2472" w:rsidP="006C2472">
      <w:pPr>
        <w:pStyle w:val="MDPI51figurecaption"/>
      </w:pPr>
      <w:r w:rsidRPr="006C2472">
        <w:rPr>
          <w:b/>
          <w:bCs/>
        </w:rPr>
        <w:t>Figure S9.</w:t>
      </w:r>
      <w:r w:rsidR="00615552" w:rsidRPr="006C2472">
        <w:rPr>
          <w:b/>
        </w:rPr>
        <w:t xml:space="preserve"> </w:t>
      </w:r>
      <w:r w:rsidR="00615552" w:rsidRPr="006C2472">
        <w:t xml:space="preserve">SUN1 sub-cellular localization in </w:t>
      </w:r>
      <w:proofErr w:type="spellStart"/>
      <w:r w:rsidR="00615552" w:rsidRPr="006C2472">
        <w:rPr>
          <w:i/>
          <w:iCs/>
        </w:rPr>
        <w:t>Lmna</w:t>
      </w:r>
      <w:proofErr w:type="spellEnd"/>
      <w:r w:rsidR="00615552" w:rsidRPr="006C2472">
        <w:t xml:space="preserve"> exon 4 mutants. Representative, single, confocal, images of SUN1 detected by immunostaining in Control, Null, Delta and R249W clones. Scale bar = 8 µm.</w:t>
      </w:r>
    </w:p>
    <w:p w:rsidR="00615552" w:rsidRPr="006C2472" w:rsidRDefault="00615552" w:rsidP="006C2472">
      <w:pPr>
        <w:adjustRightInd w:val="0"/>
        <w:snapToGrid w:val="0"/>
        <w:rPr>
          <w:lang w:val="en-US"/>
        </w:rPr>
      </w:pPr>
      <w:r w:rsidRPr="006C2472">
        <w:rPr>
          <w:lang w:val="en-US"/>
        </w:rPr>
        <w:br w:type="page"/>
      </w:r>
    </w:p>
    <w:p w:rsidR="00615552" w:rsidRPr="006C2472" w:rsidRDefault="00615552" w:rsidP="006C2472">
      <w:pPr>
        <w:pStyle w:val="MDPI52figure"/>
      </w:pPr>
      <w:r w:rsidRPr="006C2472">
        <w:rPr>
          <w:lang w:eastAsia="es-ES"/>
        </w:rPr>
        <w:lastRenderedPageBreak/>
        <w:drawing>
          <wp:inline distT="0" distB="0" distL="0" distR="0" wp14:anchorId="3BBC3B43">
            <wp:extent cx="2628000" cy="5947200"/>
            <wp:effectExtent l="0" t="0" r="127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28000" cy="5947200"/>
                    </a:xfrm>
                    <a:prstGeom prst="rect">
                      <a:avLst/>
                    </a:prstGeom>
                    <a:noFill/>
                  </pic:spPr>
                </pic:pic>
              </a:graphicData>
            </a:graphic>
          </wp:inline>
        </w:drawing>
      </w:r>
      <w:r w:rsidRPr="006C2472">
        <w:t xml:space="preserve">  </w:t>
      </w:r>
      <w:r w:rsidRPr="006C2472">
        <w:rPr>
          <w:lang w:eastAsia="es-ES"/>
        </w:rPr>
        <w:drawing>
          <wp:inline distT="0" distB="0" distL="0" distR="0" wp14:anchorId="7A48EFF0">
            <wp:extent cx="2628000" cy="5947200"/>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8000" cy="5947200"/>
                    </a:xfrm>
                    <a:prstGeom prst="rect">
                      <a:avLst/>
                    </a:prstGeom>
                    <a:noFill/>
                  </pic:spPr>
                </pic:pic>
              </a:graphicData>
            </a:graphic>
          </wp:inline>
        </w:drawing>
      </w:r>
    </w:p>
    <w:p w:rsidR="00615552" w:rsidRPr="006C2472" w:rsidRDefault="006C2472" w:rsidP="006C2472">
      <w:pPr>
        <w:pStyle w:val="MDPI51figurecaption"/>
      </w:pPr>
      <w:r w:rsidRPr="006C2472">
        <w:rPr>
          <w:b/>
          <w:bCs/>
        </w:rPr>
        <w:t>Figure S10.</w:t>
      </w:r>
      <w:r w:rsidR="00615552" w:rsidRPr="006C2472">
        <w:rPr>
          <w:b/>
        </w:rPr>
        <w:t xml:space="preserve"> </w:t>
      </w:r>
      <w:r w:rsidR="00615552" w:rsidRPr="006C2472">
        <w:t xml:space="preserve">SUN2 sub-cellular localization in </w:t>
      </w:r>
      <w:proofErr w:type="spellStart"/>
      <w:r w:rsidR="00615552" w:rsidRPr="006C2472">
        <w:rPr>
          <w:i/>
          <w:iCs/>
        </w:rPr>
        <w:t>Lmna</w:t>
      </w:r>
      <w:proofErr w:type="spellEnd"/>
      <w:r w:rsidR="00615552" w:rsidRPr="006C2472">
        <w:t xml:space="preserve"> exon 4 mutants. Representative, single, confocal, images of SUN2 detected by immunostaining in Control, Null, Delta and R249W clones. Scale bar = 8 µm.</w:t>
      </w:r>
    </w:p>
    <w:p w:rsidR="00615552" w:rsidRPr="006C2472" w:rsidRDefault="00615552" w:rsidP="006C2472">
      <w:pPr>
        <w:adjustRightInd w:val="0"/>
        <w:snapToGrid w:val="0"/>
        <w:jc w:val="both"/>
        <w:rPr>
          <w:lang w:val="en-US"/>
        </w:rPr>
      </w:pPr>
      <w:bookmarkStart w:id="0" w:name="noRef"/>
      <w:bookmarkStart w:id="1" w:name="_GoBack"/>
      <w:bookmarkEnd w:id="0"/>
      <w:bookmarkEnd w:id="1"/>
    </w:p>
    <w:sectPr w:rsidR="00615552" w:rsidRPr="006C2472" w:rsidSect="006C2472">
      <w:type w:val="continuous"/>
      <w:pgSz w:w="11906" w:h="16838"/>
      <w:pgMar w:top="1417" w:right="1531" w:bottom="1077" w:left="1531" w:header="1020"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0E9F" w:rsidRDefault="00D50E9F" w:rsidP="006C2472">
      <w:pPr>
        <w:spacing w:after="0" w:line="240" w:lineRule="auto"/>
      </w:pPr>
      <w:r>
        <w:separator/>
      </w:r>
    </w:p>
  </w:endnote>
  <w:endnote w:type="continuationSeparator" w:id="0">
    <w:p w:rsidR="00D50E9F" w:rsidRDefault="00D50E9F" w:rsidP="006C24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0E9F" w:rsidRDefault="00D50E9F" w:rsidP="006C2472">
      <w:pPr>
        <w:spacing w:after="0" w:line="240" w:lineRule="auto"/>
      </w:pPr>
      <w:r>
        <w:separator/>
      </w:r>
    </w:p>
  </w:footnote>
  <w:footnote w:type="continuationSeparator" w:id="0">
    <w:p w:rsidR="00D50E9F" w:rsidRDefault="00D50E9F" w:rsidP="006C24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9AC"/>
    <w:rsid w:val="00371AC2"/>
    <w:rsid w:val="00615552"/>
    <w:rsid w:val="006C2472"/>
    <w:rsid w:val="0073380E"/>
    <w:rsid w:val="00D50E9F"/>
    <w:rsid w:val="00D8151E"/>
    <w:rsid w:val="00E519AC"/>
    <w:rsid w:val="00F050B1"/>
    <w:rsid w:val="00F17EAB"/>
  </w:rsids>
  <m:mathPr>
    <m:mathFont m:val="Cambria Math"/>
    <m:brkBin m:val="before"/>
    <m:brkBinSub m:val="--"/>
    <m:smallFrac m:val="0"/>
    <m:dispDef/>
    <m:lMargin m:val="0"/>
    <m:rMargin m:val="0"/>
    <m:defJc m:val="centerGroup"/>
    <m:wrapIndent m:val="1440"/>
    <m:intLim m:val="subSup"/>
    <m:naryLim m:val="undOvr"/>
  </m:mathPr>
  <w:themeFontLang w:val="es-E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E7D3ACF-6E31-4C22-BF67-3B7E4CE2A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C247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C2472"/>
    <w:rPr>
      <w:rFonts w:ascii="Segoe UI" w:hAnsi="Segoe UI" w:cs="Segoe UI"/>
      <w:sz w:val="18"/>
      <w:szCs w:val="18"/>
    </w:rPr>
  </w:style>
  <w:style w:type="paragraph" w:styleId="Header">
    <w:name w:val="header"/>
    <w:basedOn w:val="Normal"/>
    <w:link w:val="HeaderChar"/>
    <w:uiPriority w:val="99"/>
    <w:unhideWhenUsed/>
    <w:rsid w:val="006C24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2472"/>
  </w:style>
  <w:style w:type="paragraph" w:styleId="Footer">
    <w:name w:val="footer"/>
    <w:basedOn w:val="Normal"/>
    <w:link w:val="FooterChar"/>
    <w:uiPriority w:val="99"/>
    <w:unhideWhenUsed/>
    <w:rsid w:val="006C24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2472"/>
  </w:style>
  <w:style w:type="paragraph" w:customStyle="1" w:styleId="MDPI11articletype">
    <w:name w:val="MDPI_1.1_article_type"/>
    <w:next w:val="Normal"/>
    <w:qFormat/>
    <w:rsid w:val="006C2472"/>
    <w:pPr>
      <w:adjustRightInd w:val="0"/>
      <w:snapToGrid w:val="0"/>
      <w:spacing w:before="240" w:after="0" w:line="240" w:lineRule="auto"/>
    </w:pPr>
    <w:rPr>
      <w:rFonts w:ascii="Palatino Linotype" w:eastAsia="Times New Roman" w:hAnsi="Palatino Linotype" w:cs="Times New Roman"/>
      <w:i/>
      <w:snapToGrid w:val="0"/>
      <w:color w:val="000000"/>
      <w:sz w:val="20"/>
      <w:lang w:val="en-US" w:eastAsia="de-DE" w:bidi="en-US"/>
    </w:rPr>
  </w:style>
  <w:style w:type="paragraph" w:customStyle="1" w:styleId="MDPI12title">
    <w:name w:val="MDPI_1.2_title"/>
    <w:next w:val="Normal"/>
    <w:qFormat/>
    <w:rsid w:val="006C2472"/>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Normal"/>
    <w:qFormat/>
    <w:rsid w:val="006C2472"/>
    <w:pPr>
      <w:adjustRightInd w:val="0"/>
      <w:snapToGrid w:val="0"/>
      <w:spacing w:after="12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
    <w:next w:val="Normal"/>
    <w:qFormat/>
    <w:rsid w:val="006C2472"/>
    <w:pPr>
      <w:adjustRightInd w:val="0"/>
      <w:snapToGrid w:val="0"/>
      <w:spacing w:before="120" w:after="0" w:line="200" w:lineRule="atLeast"/>
      <w:ind w:left="113"/>
    </w:pPr>
    <w:rPr>
      <w:rFonts w:ascii="Palatino Linotype" w:eastAsia="Times New Roman" w:hAnsi="Palatino Linotype" w:cs="Times New Roman"/>
      <w:color w:val="000000"/>
      <w:sz w:val="18"/>
      <w:szCs w:val="20"/>
      <w:lang w:val="en-US" w:eastAsia="de-DE" w:bidi="en-US"/>
    </w:rPr>
  </w:style>
  <w:style w:type="paragraph" w:customStyle="1" w:styleId="MDPI15academiceditor">
    <w:name w:val="MDPI_1.5_academic_editor"/>
    <w:qFormat/>
    <w:rsid w:val="006C2472"/>
    <w:pPr>
      <w:adjustRightInd w:val="0"/>
      <w:snapToGrid w:val="0"/>
      <w:spacing w:after="0" w:line="260" w:lineRule="atLeast"/>
      <w:ind w:left="113"/>
    </w:pPr>
    <w:rPr>
      <w:rFonts w:ascii="Palatino Linotype" w:eastAsia="Times New Roman" w:hAnsi="Palatino Linotype" w:cs="Times New Roman"/>
      <w:color w:val="000000"/>
      <w:sz w:val="18"/>
      <w:lang w:val="en-US" w:eastAsia="de-DE" w:bidi="en-US"/>
    </w:rPr>
  </w:style>
  <w:style w:type="paragraph" w:customStyle="1" w:styleId="MDPI16affiliation">
    <w:name w:val="MDPI_1.6_affiliation"/>
    <w:qFormat/>
    <w:rsid w:val="006C2472"/>
    <w:pPr>
      <w:adjustRightInd w:val="0"/>
      <w:snapToGrid w:val="0"/>
      <w:spacing w:after="0" w:line="260" w:lineRule="atLeast"/>
      <w:ind w:left="311" w:hanging="198"/>
    </w:pPr>
    <w:rPr>
      <w:rFonts w:ascii="Palatino Linotype" w:eastAsia="Times New Roman" w:hAnsi="Palatino Linotype" w:cs="Times New Roman"/>
      <w:color w:val="000000"/>
      <w:sz w:val="18"/>
      <w:szCs w:val="18"/>
      <w:lang w:val="en-US" w:eastAsia="de-DE" w:bidi="en-US"/>
    </w:rPr>
  </w:style>
  <w:style w:type="paragraph" w:customStyle="1" w:styleId="MDPI17abstract">
    <w:name w:val="MDPI_1.7_abstract"/>
    <w:next w:val="Normal"/>
    <w:qFormat/>
    <w:rsid w:val="006C2472"/>
    <w:pPr>
      <w:adjustRightInd w:val="0"/>
      <w:snapToGrid w:val="0"/>
      <w:spacing w:before="240" w:after="0" w:line="260" w:lineRule="atLeast"/>
      <w:ind w:left="113"/>
      <w:jc w:val="both"/>
    </w:pPr>
    <w:rPr>
      <w:rFonts w:ascii="Palatino Linotype" w:eastAsia="Times New Roman" w:hAnsi="Palatino Linotype" w:cs="Times New Roman"/>
      <w:color w:val="000000"/>
      <w:sz w:val="20"/>
      <w:lang w:val="en-US" w:eastAsia="de-DE" w:bidi="en-US"/>
    </w:rPr>
  </w:style>
  <w:style w:type="paragraph" w:customStyle="1" w:styleId="MDPI18keywords">
    <w:name w:val="MDPI_1.8_keywords"/>
    <w:next w:val="Normal"/>
    <w:qFormat/>
    <w:rsid w:val="006C2472"/>
    <w:pPr>
      <w:adjustRightInd w:val="0"/>
      <w:snapToGrid w:val="0"/>
      <w:spacing w:before="240" w:after="0" w:line="260" w:lineRule="atLeast"/>
      <w:ind w:left="113"/>
      <w:jc w:val="both"/>
    </w:pPr>
    <w:rPr>
      <w:rFonts w:ascii="Palatino Linotype" w:eastAsia="Times New Roman" w:hAnsi="Palatino Linotype" w:cs="Times New Roman"/>
      <w:snapToGrid w:val="0"/>
      <w:color w:val="000000"/>
      <w:sz w:val="20"/>
      <w:lang w:val="en-US" w:eastAsia="de-DE" w:bidi="en-US"/>
    </w:rPr>
  </w:style>
  <w:style w:type="paragraph" w:customStyle="1" w:styleId="MDPI19classification">
    <w:name w:val="MDPI_1.9_classification"/>
    <w:qFormat/>
    <w:rsid w:val="006C2472"/>
    <w:pPr>
      <w:spacing w:before="240" w:after="0" w:line="260" w:lineRule="atLeast"/>
      <w:ind w:left="113"/>
      <w:jc w:val="both"/>
    </w:pPr>
    <w:rPr>
      <w:rFonts w:ascii="Palatino Linotype" w:eastAsia="Times New Roman" w:hAnsi="Palatino Linotype" w:cs="Times New Roman"/>
      <w:b/>
      <w:color w:val="000000"/>
      <w:sz w:val="20"/>
      <w:lang w:val="en-US" w:eastAsia="de-DE" w:bidi="en-US"/>
    </w:rPr>
  </w:style>
  <w:style w:type="paragraph" w:customStyle="1" w:styleId="MDPI19line">
    <w:name w:val="MDPI_1.9_line"/>
    <w:qFormat/>
    <w:rsid w:val="006C2472"/>
    <w:pPr>
      <w:pBdr>
        <w:bottom w:val="single" w:sz="6" w:space="1" w:color="auto"/>
      </w:pBdr>
      <w:spacing w:after="0" w:line="260" w:lineRule="atLeast"/>
      <w:jc w:val="both"/>
    </w:pPr>
    <w:rPr>
      <w:rFonts w:ascii="Palatino Linotype" w:eastAsia="Times New Roman" w:hAnsi="Palatino Linotype"/>
      <w:color w:val="000000"/>
      <w:sz w:val="20"/>
      <w:szCs w:val="24"/>
      <w:lang w:val="en-US" w:eastAsia="de-DE" w:bidi="en-US"/>
    </w:rPr>
  </w:style>
  <w:style w:type="paragraph" w:customStyle="1" w:styleId="MDPI21heading1">
    <w:name w:val="MDPI_2.1_heading1"/>
    <w:qFormat/>
    <w:rsid w:val="006C2472"/>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lang w:val="en-US" w:eastAsia="de-DE" w:bidi="en-US"/>
    </w:rPr>
  </w:style>
  <w:style w:type="paragraph" w:customStyle="1" w:styleId="MDPI22heading2">
    <w:name w:val="MDPI_2.2_heading2"/>
    <w:qFormat/>
    <w:rsid w:val="006C2472"/>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val="en-US" w:eastAsia="de-DE" w:bidi="en-US"/>
    </w:rPr>
  </w:style>
  <w:style w:type="paragraph" w:customStyle="1" w:styleId="MDPI23heading3">
    <w:name w:val="MDPI_2.3_heading3"/>
    <w:qFormat/>
    <w:rsid w:val="006C2472"/>
    <w:pPr>
      <w:adjustRightInd w:val="0"/>
      <w:snapToGrid w:val="0"/>
      <w:spacing w:before="240" w:after="120" w:line="260" w:lineRule="atLeast"/>
      <w:outlineLvl w:val="2"/>
    </w:pPr>
    <w:rPr>
      <w:rFonts w:ascii="Palatino Linotype" w:eastAsia="Times New Roman" w:hAnsi="Palatino Linotype" w:cs="Times New Roman"/>
      <w:snapToGrid w:val="0"/>
      <w:color w:val="000000"/>
      <w:sz w:val="20"/>
      <w:lang w:val="en-US" w:eastAsia="de-DE" w:bidi="en-US"/>
    </w:rPr>
  </w:style>
  <w:style w:type="paragraph" w:customStyle="1" w:styleId="MDPI31text">
    <w:name w:val="MDPI_3.1_text"/>
    <w:qFormat/>
    <w:rsid w:val="006C2472"/>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 w:type="paragraph" w:customStyle="1" w:styleId="MDPI32textnoindent">
    <w:name w:val="MDPI_3.2_text_no_indent"/>
    <w:qFormat/>
    <w:rsid w:val="006C2472"/>
    <w:pPr>
      <w:adjustRightInd w:val="0"/>
      <w:snapToGrid w:val="0"/>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3textspaceafter">
    <w:name w:val="MDPI_3.3_text_space_after"/>
    <w:qFormat/>
    <w:rsid w:val="006C2472"/>
    <w:pPr>
      <w:spacing w:after="24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4textspacebefore">
    <w:name w:val="MDPI_3.4_text_space_before"/>
    <w:qFormat/>
    <w:rsid w:val="006C2472"/>
    <w:pPr>
      <w:spacing w:before="240"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5textbeforelist">
    <w:name w:val="MDPI_3.5_text_before_list"/>
    <w:qFormat/>
    <w:rsid w:val="006C2472"/>
    <w:pPr>
      <w:spacing w:after="12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6textafterlist">
    <w:name w:val="MDPI_3.6_text_after_list"/>
    <w:qFormat/>
    <w:rsid w:val="006C2472"/>
    <w:pPr>
      <w:spacing w:before="120"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7itemize">
    <w:name w:val="MDPI_3.7_itemize"/>
    <w:qFormat/>
    <w:rsid w:val="006C2472"/>
    <w:pPr>
      <w:numPr>
        <w:numId w:val="1"/>
      </w:numPr>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8bullet">
    <w:name w:val="MDPI_3.8_bullet"/>
    <w:qFormat/>
    <w:rsid w:val="006C2472"/>
    <w:pPr>
      <w:numPr>
        <w:numId w:val="2"/>
      </w:numPr>
      <w:adjustRightInd w:val="0"/>
      <w:snapToGrid w:val="0"/>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39equation">
    <w:name w:val="MDPI_3.9_equation"/>
    <w:qFormat/>
    <w:rsid w:val="006C2472"/>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lang w:val="en-US" w:eastAsia="de-DE" w:bidi="en-US"/>
    </w:rPr>
  </w:style>
  <w:style w:type="paragraph" w:customStyle="1" w:styleId="MDPI3aequationnumber">
    <w:name w:val="MDPI_3.a_equation_number"/>
    <w:qFormat/>
    <w:rsid w:val="006C2472"/>
    <w:pPr>
      <w:spacing w:before="120" w:after="120" w:line="240" w:lineRule="auto"/>
      <w:jc w:val="right"/>
    </w:pPr>
    <w:rPr>
      <w:rFonts w:ascii="Palatino Linotype" w:eastAsia="Times New Roman" w:hAnsi="Palatino Linotype" w:cs="Times New Roman"/>
      <w:snapToGrid w:val="0"/>
      <w:color w:val="000000"/>
      <w:sz w:val="20"/>
      <w:lang w:val="en-US" w:eastAsia="de-DE" w:bidi="en-US"/>
    </w:rPr>
  </w:style>
  <w:style w:type="paragraph" w:customStyle="1" w:styleId="MDPI411onetablecaption">
    <w:name w:val="MDPI_4.1.1_one_table_caption"/>
    <w:qFormat/>
    <w:rsid w:val="006C2472"/>
    <w:pPr>
      <w:adjustRightInd w:val="0"/>
      <w:snapToGrid w:val="0"/>
      <w:spacing w:before="240" w:after="120" w:line="260" w:lineRule="atLeast"/>
      <w:jc w:val="center"/>
    </w:pPr>
    <w:rPr>
      <w:rFonts w:ascii="Palatino Linotype" w:eastAsiaTheme="minorEastAsia" w:hAnsi="Palatino Linotype"/>
      <w:noProof/>
      <w:color w:val="000000"/>
      <w:sz w:val="18"/>
      <w:lang w:val="en-US" w:eastAsia="zh-CN" w:bidi="en-US"/>
    </w:rPr>
  </w:style>
  <w:style w:type="paragraph" w:customStyle="1" w:styleId="MDPI41tablecaption">
    <w:name w:val="MDPI_4.1_table_caption"/>
    <w:qFormat/>
    <w:rsid w:val="006C2472"/>
    <w:pPr>
      <w:adjustRightInd w:val="0"/>
      <w:snapToGrid w:val="0"/>
      <w:spacing w:before="240" w:after="120" w:line="260" w:lineRule="atLeast"/>
      <w:ind w:left="425" w:right="425"/>
      <w:jc w:val="both"/>
    </w:pPr>
    <w:rPr>
      <w:rFonts w:ascii="Palatino Linotype" w:eastAsia="Times New Roman" w:hAnsi="Palatino Linotype"/>
      <w:color w:val="000000"/>
      <w:sz w:val="18"/>
      <w:lang w:val="en-US" w:eastAsia="de-DE" w:bidi="en-US"/>
    </w:rPr>
  </w:style>
  <w:style w:type="table" w:customStyle="1" w:styleId="MDPI41threelinetable">
    <w:name w:val="MDPI_4.1_three_line_table"/>
    <w:basedOn w:val="TableNormal"/>
    <w:uiPriority w:val="99"/>
    <w:rsid w:val="006C2472"/>
    <w:pPr>
      <w:adjustRightInd w:val="0"/>
      <w:snapToGrid w:val="0"/>
      <w:spacing w:after="0" w:line="240" w:lineRule="auto"/>
      <w:jc w:val="center"/>
    </w:pPr>
    <w:rPr>
      <w:rFonts w:ascii="Palatino Linotype" w:eastAsiaTheme="minorEastAsia" w:hAnsi="Palatino Linotype" w:cs="Times New Roman"/>
      <w:color w:val="000000"/>
      <w:sz w:val="20"/>
      <w:szCs w:val="20"/>
      <w:lang w:val="en-US"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6C2472"/>
    <w:pPr>
      <w:adjustRightInd w:val="0"/>
      <w:snapToGrid w:val="0"/>
      <w:spacing w:after="240" w:line="260" w:lineRule="atLeast"/>
      <w:jc w:val="both"/>
    </w:pPr>
    <w:rPr>
      <w:rFonts w:ascii="Palatino Linotype" w:eastAsia="Times New Roman" w:hAnsi="Palatino Linotype"/>
      <w:color w:val="000000"/>
      <w:sz w:val="18"/>
      <w:lang w:val="en-US" w:eastAsia="de-DE" w:bidi="en-US"/>
    </w:rPr>
  </w:style>
  <w:style w:type="paragraph" w:customStyle="1" w:styleId="MDPI511onefigurecaption">
    <w:name w:val="MDPI_5.1.1_one_figure_caption"/>
    <w:qFormat/>
    <w:rsid w:val="006C2472"/>
    <w:pPr>
      <w:adjustRightInd w:val="0"/>
      <w:snapToGrid w:val="0"/>
      <w:spacing w:before="240" w:after="120" w:line="260" w:lineRule="atLeast"/>
      <w:jc w:val="center"/>
    </w:pPr>
    <w:rPr>
      <w:rFonts w:ascii="Palatino Linotype" w:eastAsiaTheme="minorEastAsia" w:hAnsi="Palatino Linotype" w:cs="Times New Roman"/>
      <w:noProof/>
      <w:color w:val="000000"/>
      <w:sz w:val="18"/>
      <w:szCs w:val="20"/>
      <w:lang w:val="en-US" w:eastAsia="zh-CN" w:bidi="en-US"/>
    </w:rPr>
  </w:style>
  <w:style w:type="paragraph" w:customStyle="1" w:styleId="MDPI51figurecaption">
    <w:name w:val="MDPI_5.1_figure_caption"/>
    <w:qFormat/>
    <w:rsid w:val="006C2472"/>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val="en-US" w:eastAsia="de-DE" w:bidi="en-US"/>
    </w:rPr>
  </w:style>
  <w:style w:type="paragraph" w:customStyle="1" w:styleId="MDPI52figure">
    <w:name w:val="MDPI_5.2_figure"/>
    <w:qFormat/>
    <w:rsid w:val="006C2472"/>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val="en-US" w:eastAsia="de-DE" w:bidi="en-US"/>
    </w:rPr>
  </w:style>
  <w:style w:type="paragraph" w:customStyle="1" w:styleId="MDPI61Supplementary">
    <w:name w:val="MDPI_6.1_Supplementary"/>
    <w:qFormat/>
    <w:rsid w:val="006C2472"/>
    <w:pPr>
      <w:spacing w:before="240" w:after="0" w:line="260" w:lineRule="atLeast"/>
      <w:jc w:val="both"/>
    </w:pPr>
    <w:rPr>
      <w:rFonts w:ascii="Palatino Linotype" w:eastAsia="Times New Roman" w:hAnsi="Palatino Linotype" w:cs="Times New Roman"/>
      <w:snapToGrid w:val="0"/>
      <w:color w:val="000000"/>
      <w:sz w:val="18"/>
      <w:szCs w:val="20"/>
      <w:lang w:val="en-US" w:bidi="en-US"/>
    </w:rPr>
  </w:style>
  <w:style w:type="paragraph" w:customStyle="1" w:styleId="MDPI62Acknowledgments">
    <w:name w:val="MDPI_6.2_Acknowledgments"/>
    <w:qFormat/>
    <w:rsid w:val="006C2472"/>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63AuthorContributions">
    <w:name w:val="MDPI_6.3_AuthorContributions"/>
    <w:qFormat/>
    <w:rsid w:val="006C2472"/>
    <w:pPr>
      <w:spacing w:after="0" w:line="260" w:lineRule="atLeast"/>
      <w:jc w:val="both"/>
    </w:pPr>
    <w:rPr>
      <w:rFonts w:ascii="Palatino Linotype" w:eastAsia="SimSun" w:hAnsi="Palatino Linotype" w:cs="Times New Roman"/>
      <w:snapToGrid w:val="0"/>
      <w:sz w:val="18"/>
      <w:szCs w:val="20"/>
      <w:lang w:val="en-US" w:bidi="en-US"/>
    </w:rPr>
  </w:style>
  <w:style w:type="paragraph" w:customStyle="1" w:styleId="MDPI64CoI">
    <w:name w:val="MDPI_6.4_CoI"/>
    <w:qFormat/>
    <w:rsid w:val="006C2472"/>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1References">
    <w:name w:val="MDPI_7.1_References"/>
    <w:qFormat/>
    <w:rsid w:val="006C2472"/>
    <w:pPr>
      <w:numPr>
        <w:numId w:val="3"/>
      </w:numPr>
      <w:spacing w:after="0" w:line="260" w:lineRule="atLeast"/>
      <w:jc w:val="both"/>
    </w:pPr>
    <w:rPr>
      <w:rFonts w:ascii="Palatino Linotype" w:eastAsia="Times New Roman" w:hAnsi="Palatino Linotype" w:cs="Times New Roman"/>
      <w:snapToGrid w:val="0"/>
      <w:color w:val="000000"/>
      <w:sz w:val="18"/>
      <w:szCs w:val="20"/>
      <w:lang w:val="en-US" w:eastAsia="de-DE" w:bidi="en-US"/>
    </w:rPr>
  </w:style>
  <w:style w:type="paragraph" w:customStyle="1" w:styleId="MDPI72Copyright">
    <w:name w:val="MDPI_7.2_Copyright"/>
    <w:qFormat/>
    <w:rsid w:val="006C2472"/>
    <w:pPr>
      <w:adjustRightInd w:val="0"/>
      <w:snapToGrid w:val="0"/>
      <w:spacing w:before="400" w:after="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6C2472"/>
    <w:pPr>
      <w:adjustRightInd w:val="0"/>
      <w:snapToGrid w:val="0"/>
      <w:spacing w:after="100" w:line="260" w:lineRule="atLeast"/>
      <w:jc w:val="right"/>
    </w:pPr>
    <w:rPr>
      <w:rFonts w:ascii="Palatino Linotype" w:eastAsia="Times New Roman" w:hAnsi="Palatino Linotype" w:cs="Times New Roman"/>
      <w:color w:val="000000"/>
      <w:sz w:val="20"/>
      <w:szCs w:val="20"/>
      <w:lang w:val="en-US" w:eastAsia="de-CH"/>
    </w:rPr>
  </w:style>
  <w:style w:type="paragraph" w:customStyle="1" w:styleId="MDPI81theorem">
    <w:name w:val="MDPI_8.1_theorem"/>
    <w:qFormat/>
    <w:rsid w:val="006C2472"/>
    <w:pPr>
      <w:spacing w:after="0" w:line="260" w:lineRule="atLeast"/>
      <w:jc w:val="both"/>
    </w:pPr>
    <w:rPr>
      <w:rFonts w:ascii="Palatino Linotype" w:eastAsia="Times New Roman" w:hAnsi="Palatino Linotype" w:cs="Times New Roman"/>
      <w:i/>
      <w:snapToGrid w:val="0"/>
      <w:color w:val="000000"/>
      <w:sz w:val="20"/>
      <w:lang w:val="en-US" w:eastAsia="de-DE" w:bidi="en-US"/>
    </w:rPr>
  </w:style>
  <w:style w:type="paragraph" w:customStyle="1" w:styleId="MDPI82proof">
    <w:name w:val="MDPI_8.2_proof"/>
    <w:qFormat/>
    <w:rsid w:val="006C2472"/>
    <w:pPr>
      <w:spacing w:after="0" w:line="260" w:lineRule="atLeast"/>
      <w:jc w:val="both"/>
    </w:pPr>
    <w:rPr>
      <w:rFonts w:ascii="Palatino Linotype" w:eastAsia="Times New Roman" w:hAnsi="Palatino Linotype" w:cs="Times New Roman"/>
      <w:snapToGrid w:val="0"/>
      <w:color w:val="000000"/>
      <w:sz w:val="20"/>
      <w:lang w:val="en-US" w:eastAsia="de-DE" w:bidi="en-US"/>
    </w:rPr>
  </w:style>
  <w:style w:type="paragraph" w:customStyle="1" w:styleId="MDPIequationFram">
    <w:name w:val="MDPI_equationFram"/>
    <w:qFormat/>
    <w:rsid w:val="006C2472"/>
    <w:pPr>
      <w:adjustRightInd w:val="0"/>
      <w:snapToGrid w:val="0"/>
      <w:spacing w:before="120" w:after="120" w:line="240" w:lineRule="auto"/>
      <w:jc w:val="center"/>
    </w:pPr>
    <w:rPr>
      <w:rFonts w:ascii="Palatino Linotype" w:eastAsia="Times New Roman" w:hAnsi="Palatino Linotype" w:cs="Times New Roman"/>
      <w:snapToGrid w:val="0"/>
      <w:color w:val="000000"/>
      <w:sz w:val="20"/>
      <w:lang w:val="en-US" w:eastAsia="de-DE" w:bidi="en-US"/>
    </w:rPr>
  </w:style>
  <w:style w:type="paragraph" w:customStyle="1" w:styleId="MDPIfooter">
    <w:name w:val="MDPI_footer"/>
    <w:qFormat/>
    <w:rsid w:val="006C2472"/>
    <w:pPr>
      <w:adjustRightInd w:val="0"/>
      <w:snapToGrid w:val="0"/>
      <w:spacing w:before="120" w:after="0" w:line="260" w:lineRule="atLeast"/>
      <w:jc w:val="center"/>
    </w:pPr>
    <w:rPr>
      <w:rFonts w:ascii="Palatino Linotype" w:eastAsia="Times New Roman" w:hAnsi="Palatino Linotype" w:cs="Times New Roman"/>
      <w:color w:val="000000"/>
      <w:sz w:val="20"/>
      <w:szCs w:val="20"/>
      <w:lang w:val="en-US" w:eastAsia="de-DE"/>
    </w:rPr>
  </w:style>
  <w:style w:type="paragraph" w:customStyle="1" w:styleId="MDPIfooterfirstpage">
    <w:name w:val="MDPI_footer_firstpage"/>
    <w:qFormat/>
    <w:rsid w:val="006C2472"/>
    <w:pPr>
      <w:tabs>
        <w:tab w:val="right" w:pos="8845"/>
      </w:tabs>
      <w:spacing w:after="0" w:line="160" w:lineRule="exact"/>
    </w:pPr>
    <w:rPr>
      <w:rFonts w:ascii="Palatino Linotype" w:eastAsia="Times New Roman" w:hAnsi="Palatino Linotype" w:cs="Times New Roman"/>
      <w:color w:val="000000"/>
      <w:sz w:val="16"/>
      <w:szCs w:val="20"/>
      <w:lang w:val="en-US" w:eastAsia="de-DE"/>
    </w:rPr>
  </w:style>
  <w:style w:type="paragraph" w:customStyle="1" w:styleId="MDPIheader">
    <w:name w:val="MDPI_header"/>
    <w:qFormat/>
    <w:rsid w:val="006C2472"/>
    <w:pPr>
      <w:adjustRightInd w:val="0"/>
      <w:snapToGrid w:val="0"/>
      <w:spacing w:after="240" w:line="260" w:lineRule="atLeast"/>
      <w:jc w:val="both"/>
    </w:pPr>
    <w:rPr>
      <w:rFonts w:ascii="Palatino Linotype" w:eastAsia="Times New Roman" w:hAnsi="Palatino Linotype" w:cs="Times New Roman"/>
      <w:iCs/>
      <w:color w:val="000000"/>
      <w:sz w:val="16"/>
      <w:szCs w:val="20"/>
      <w:lang w:val="en-US" w:eastAsia="de-DE"/>
    </w:rPr>
  </w:style>
  <w:style w:type="paragraph" w:customStyle="1" w:styleId="MDPIheadercitation">
    <w:name w:val="MDPI_header_citation"/>
    <w:rsid w:val="006C2472"/>
    <w:pPr>
      <w:spacing w:after="240" w:line="240" w:lineRule="auto"/>
    </w:pPr>
    <w:rPr>
      <w:rFonts w:ascii="Palatino Linotype" w:eastAsia="Times New Roman" w:hAnsi="Palatino Linotype" w:cs="Times New Roman"/>
      <w:snapToGrid w:val="0"/>
      <w:color w:val="000000"/>
      <w:sz w:val="18"/>
      <w:szCs w:val="20"/>
      <w:lang w:val="en-US" w:eastAsia="de-DE" w:bidi="en-US"/>
    </w:rPr>
  </w:style>
  <w:style w:type="paragraph" w:customStyle="1" w:styleId="MDPIheaderjournallogo">
    <w:name w:val="MDPI_header_journal_logo"/>
    <w:qFormat/>
    <w:rsid w:val="006C2472"/>
    <w:pPr>
      <w:adjustRightInd w:val="0"/>
      <w:snapToGrid w:val="0"/>
      <w:spacing w:after="0" w:line="260" w:lineRule="atLeast"/>
      <w:jc w:val="both"/>
    </w:pPr>
    <w:rPr>
      <w:rFonts w:ascii="Palatino Linotype" w:eastAsia="Times New Roman" w:hAnsi="Palatino Linotype" w:cs="Times New Roman"/>
      <w:i/>
      <w:color w:val="000000"/>
      <w:sz w:val="24"/>
      <w:lang w:val="en-US" w:eastAsia="de-CH"/>
    </w:rPr>
  </w:style>
  <w:style w:type="paragraph" w:customStyle="1" w:styleId="MDPIheadermdpilogo">
    <w:name w:val="MDPI_header_mdpi_logo"/>
    <w:qFormat/>
    <w:rsid w:val="006C2472"/>
    <w:pPr>
      <w:adjustRightInd w:val="0"/>
      <w:snapToGrid w:val="0"/>
      <w:spacing w:after="0" w:line="260" w:lineRule="atLeast"/>
      <w:jc w:val="right"/>
    </w:pPr>
    <w:rPr>
      <w:rFonts w:ascii="Palatino Linotype" w:eastAsia="Times New Roman" w:hAnsi="Palatino Linotype" w:cs="Times New Roman"/>
      <w:color w:val="000000"/>
      <w:sz w:val="24"/>
      <w:lang w:val="en-US" w:eastAsia="de-CH"/>
    </w:rPr>
  </w:style>
  <w:style w:type="paragraph" w:customStyle="1" w:styleId="MDPItext">
    <w:name w:val="MDPI_text"/>
    <w:qFormat/>
    <w:rsid w:val="006C2472"/>
    <w:pPr>
      <w:spacing w:after="0" w:line="260" w:lineRule="atLeast"/>
      <w:ind w:left="425" w:right="425" w:firstLine="284"/>
      <w:jc w:val="both"/>
    </w:pPr>
    <w:rPr>
      <w:rFonts w:ascii="Times New Roman" w:eastAsia="Times New Roman" w:hAnsi="Times New Roman" w:cs="Times New Roman"/>
      <w:noProof/>
      <w:snapToGrid w:val="0"/>
      <w:color w:val="000000"/>
      <w:lang w:val="en-US" w:eastAsia="de-DE" w:bidi="en-US"/>
    </w:rPr>
  </w:style>
  <w:style w:type="paragraph" w:customStyle="1" w:styleId="MDPItitle">
    <w:name w:val="MDPI_title"/>
    <w:qFormat/>
    <w:rsid w:val="006C2472"/>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val="en-US" w:eastAsia="de-DE" w:bidi="en-US"/>
    </w:rPr>
  </w:style>
  <w:style w:type="character" w:styleId="CommentReference">
    <w:name w:val="annotation reference"/>
    <w:basedOn w:val="DefaultParagraphFont"/>
    <w:uiPriority w:val="99"/>
    <w:semiHidden/>
    <w:unhideWhenUsed/>
    <w:rsid w:val="006C2472"/>
    <w:rPr>
      <w:sz w:val="16"/>
      <w:szCs w:val="16"/>
    </w:rPr>
  </w:style>
  <w:style w:type="paragraph" w:styleId="CommentText">
    <w:name w:val="annotation text"/>
    <w:basedOn w:val="Normal"/>
    <w:link w:val="CommentTextChar"/>
    <w:uiPriority w:val="99"/>
    <w:semiHidden/>
    <w:unhideWhenUsed/>
    <w:rsid w:val="006C2472"/>
    <w:pPr>
      <w:spacing w:line="240" w:lineRule="auto"/>
    </w:pPr>
    <w:rPr>
      <w:sz w:val="20"/>
      <w:szCs w:val="20"/>
    </w:rPr>
  </w:style>
  <w:style w:type="character" w:customStyle="1" w:styleId="CommentTextChar">
    <w:name w:val="Comment Text Char"/>
    <w:basedOn w:val="DefaultParagraphFont"/>
    <w:link w:val="CommentText"/>
    <w:uiPriority w:val="99"/>
    <w:semiHidden/>
    <w:rsid w:val="006C2472"/>
    <w:rPr>
      <w:sz w:val="20"/>
      <w:szCs w:val="20"/>
    </w:rPr>
  </w:style>
  <w:style w:type="paragraph" w:styleId="CommentSubject">
    <w:name w:val="annotation subject"/>
    <w:basedOn w:val="CommentText"/>
    <w:next w:val="CommentText"/>
    <w:link w:val="CommentSubjectChar"/>
    <w:uiPriority w:val="99"/>
    <w:semiHidden/>
    <w:unhideWhenUsed/>
    <w:rsid w:val="006C2472"/>
    <w:rPr>
      <w:b/>
      <w:bCs/>
    </w:rPr>
  </w:style>
  <w:style w:type="character" w:customStyle="1" w:styleId="CommentSubjectChar">
    <w:name w:val="Comment Subject Char"/>
    <w:basedOn w:val="CommentTextChar"/>
    <w:link w:val="CommentSubject"/>
    <w:uiPriority w:val="99"/>
    <w:semiHidden/>
    <w:rsid w:val="006C247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535915">
      <w:bodyDiv w:val="1"/>
      <w:marLeft w:val="0"/>
      <w:marRight w:val="0"/>
      <w:marTop w:val="0"/>
      <w:marBottom w:val="0"/>
      <w:divBdr>
        <w:top w:val="none" w:sz="0" w:space="0" w:color="auto"/>
        <w:left w:val="none" w:sz="0" w:space="0" w:color="auto"/>
        <w:bottom w:val="none" w:sz="0" w:space="0" w:color="auto"/>
        <w:right w:val="none" w:sz="0" w:space="0" w:color="auto"/>
      </w:divBdr>
    </w:div>
    <w:div w:id="489639573">
      <w:bodyDiv w:val="1"/>
      <w:marLeft w:val="0"/>
      <w:marRight w:val="0"/>
      <w:marTop w:val="0"/>
      <w:marBottom w:val="0"/>
      <w:divBdr>
        <w:top w:val="none" w:sz="0" w:space="0" w:color="auto"/>
        <w:left w:val="none" w:sz="0" w:space="0" w:color="auto"/>
        <w:bottom w:val="none" w:sz="0" w:space="0" w:color="auto"/>
        <w:right w:val="none" w:sz="0" w:space="0" w:color="auto"/>
      </w:divBdr>
    </w:div>
    <w:div w:id="670643018">
      <w:bodyDiv w:val="1"/>
      <w:marLeft w:val="0"/>
      <w:marRight w:val="0"/>
      <w:marTop w:val="0"/>
      <w:marBottom w:val="0"/>
      <w:divBdr>
        <w:top w:val="none" w:sz="0" w:space="0" w:color="auto"/>
        <w:left w:val="none" w:sz="0" w:space="0" w:color="auto"/>
        <w:bottom w:val="none" w:sz="0" w:space="0" w:color="auto"/>
        <w:right w:val="none" w:sz="0" w:space="0" w:color="auto"/>
      </w:divBdr>
    </w:div>
    <w:div w:id="676925197">
      <w:bodyDiv w:val="1"/>
      <w:marLeft w:val="0"/>
      <w:marRight w:val="0"/>
      <w:marTop w:val="0"/>
      <w:marBottom w:val="0"/>
      <w:divBdr>
        <w:top w:val="none" w:sz="0" w:space="0" w:color="auto"/>
        <w:left w:val="none" w:sz="0" w:space="0" w:color="auto"/>
        <w:bottom w:val="none" w:sz="0" w:space="0" w:color="auto"/>
        <w:right w:val="none" w:sz="0" w:space="0" w:color="auto"/>
      </w:divBdr>
    </w:div>
    <w:div w:id="785733628">
      <w:bodyDiv w:val="1"/>
      <w:marLeft w:val="0"/>
      <w:marRight w:val="0"/>
      <w:marTop w:val="0"/>
      <w:marBottom w:val="0"/>
      <w:divBdr>
        <w:top w:val="none" w:sz="0" w:space="0" w:color="auto"/>
        <w:left w:val="none" w:sz="0" w:space="0" w:color="auto"/>
        <w:bottom w:val="none" w:sz="0" w:space="0" w:color="auto"/>
        <w:right w:val="none" w:sz="0" w:space="0" w:color="auto"/>
      </w:divBdr>
    </w:div>
    <w:div w:id="965282807">
      <w:bodyDiv w:val="1"/>
      <w:marLeft w:val="0"/>
      <w:marRight w:val="0"/>
      <w:marTop w:val="0"/>
      <w:marBottom w:val="0"/>
      <w:divBdr>
        <w:top w:val="none" w:sz="0" w:space="0" w:color="auto"/>
        <w:left w:val="none" w:sz="0" w:space="0" w:color="auto"/>
        <w:bottom w:val="none" w:sz="0" w:space="0" w:color="auto"/>
        <w:right w:val="none" w:sz="0" w:space="0" w:color="auto"/>
      </w:divBdr>
    </w:div>
    <w:div w:id="993753965">
      <w:bodyDiv w:val="1"/>
      <w:marLeft w:val="0"/>
      <w:marRight w:val="0"/>
      <w:marTop w:val="0"/>
      <w:marBottom w:val="0"/>
      <w:divBdr>
        <w:top w:val="none" w:sz="0" w:space="0" w:color="auto"/>
        <w:left w:val="none" w:sz="0" w:space="0" w:color="auto"/>
        <w:bottom w:val="none" w:sz="0" w:space="0" w:color="auto"/>
        <w:right w:val="none" w:sz="0" w:space="0" w:color="auto"/>
      </w:divBdr>
    </w:div>
    <w:div w:id="1111440087">
      <w:bodyDiv w:val="1"/>
      <w:marLeft w:val="0"/>
      <w:marRight w:val="0"/>
      <w:marTop w:val="0"/>
      <w:marBottom w:val="0"/>
      <w:divBdr>
        <w:top w:val="none" w:sz="0" w:space="0" w:color="auto"/>
        <w:left w:val="none" w:sz="0" w:space="0" w:color="auto"/>
        <w:bottom w:val="none" w:sz="0" w:space="0" w:color="auto"/>
        <w:right w:val="none" w:sz="0" w:space="0" w:color="auto"/>
      </w:divBdr>
    </w:div>
    <w:div w:id="1301567861">
      <w:bodyDiv w:val="1"/>
      <w:marLeft w:val="0"/>
      <w:marRight w:val="0"/>
      <w:marTop w:val="0"/>
      <w:marBottom w:val="0"/>
      <w:divBdr>
        <w:top w:val="none" w:sz="0" w:space="0" w:color="auto"/>
        <w:left w:val="none" w:sz="0" w:space="0" w:color="auto"/>
        <w:bottom w:val="none" w:sz="0" w:space="0" w:color="auto"/>
        <w:right w:val="none" w:sz="0" w:space="0" w:color="auto"/>
      </w:divBdr>
    </w:div>
    <w:div w:id="1347752349">
      <w:bodyDiv w:val="1"/>
      <w:marLeft w:val="0"/>
      <w:marRight w:val="0"/>
      <w:marTop w:val="0"/>
      <w:marBottom w:val="0"/>
      <w:divBdr>
        <w:top w:val="none" w:sz="0" w:space="0" w:color="auto"/>
        <w:left w:val="none" w:sz="0" w:space="0" w:color="auto"/>
        <w:bottom w:val="none" w:sz="0" w:space="0" w:color="auto"/>
        <w:right w:val="none" w:sz="0" w:space="0" w:color="auto"/>
      </w:divBdr>
    </w:div>
    <w:div w:id="1500730443">
      <w:bodyDiv w:val="1"/>
      <w:marLeft w:val="0"/>
      <w:marRight w:val="0"/>
      <w:marTop w:val="0"/>
      <w:marBottom w:val="0"/>
      <w:divBdr>
        <w:top w:val="none" w:sz="0" w:space="0" w:color="auto"/>
        <w:left w:val="none" w:sz="0" w:space="0" w:color="auto"/>
        <w:bottom w:val="none" w:sz="0" w:space="0" w:color="auto"/>
        <w:right w:val="none" w:sz="0" w:space="0" w:color="auto"/>
      </w:divBdr>
    </w:div>
    <w:div w:id="1548949223">
      <w:bodyDiv w:val="1"/>
      <w:marLeft w:val="0"/>
      <w:marRight w:val="0"/>
      <w:marTop w:val="0"/>
      <w:marBottom w:val="0"/>
      <w:divBdr>
        <w:top w:val="none" w:sz="0" w:space="0" w:color="auto"/>
        <w:left w:val="none" w:sz="0" w:space="0" w:color="auto"/>
        <w:bottom w:val="none" w:sz="0" w:space="0" w:color="auto"/>
        <w:right w:val="none" w:sz="0" w:space="0" w:color="auto"/>
      </w:divBdr>
    </w:div>
    <w:div w:id="1692991812">
      <w:bodyDiv w:val="1"/>
      <w:marLeft w:val="0"/>
      <w:marRight w:val="0"/>
      <w:marTop w:val="0"/>
      <w:marBottom w:val="0"/>
      <w:divBdr>
        <w:top w:val="none" w:sz="0" w:space="0" w:color="auto"/>
        <w:left w:val="none" w:sz="0" w:space="0" w:color="auto"/>
        <w:bottom w:val="none" w:sz="0" w:space="0" w:color="auto"/>
        <w:right w:val="none" w:sz="0" w:space="0" w:color="auto"/>
      </w:divBdr>
    </w:div>
    <w:div w:id="1819877978">
      <w:bodyDiv w:val="1"/>
      <w:marLeft w:val="0"/>
      <w:marRight w:val="0"/>
      <w:marTop w:val="0"/>
      <w:marBottom w:val="0"/>
      <w:divBdr>
        <w:top w:val="none" w:sz="0" w:space="0" w:color="auto"/>
        <w:left w:val="none" w:sz="0" w:space="0" w:color="auto"/>
        <w:bottom w:val="none" w:sz="0" w:space="0" w:color="auto"/>
        <w:right w:val="none" w:sz="0" w:space="0" w:color="auto"/>
      </w:divBdr>
    </w:div>
    <w:div w:id="1842357566">
      <w:bodyDiv w:val="1"/>
      <w:marLeft w:val="0"/>
      <w:marRight w:val="0"/>
      <w:marTop w:val="0"/>
      <w:marBottom w:val="0"/>
      <w:divBdr>
        <w:top w:val="none" w:sz="0" w:space="0" w:color="auto"/>
        <w:left w:val="none" w:sz="0" w:space="0" w:color="auto"/>
        <w:bottom w:val="none" w:sz="0" w:space="0" w:color="auto"/>
        <w:right w:val="none" w:sz="0" w:space="0" w:color="auto"/>
      </w:divBdr>
    </w:div>
    <w:div w:id="2103253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16</Pages>
  <Words>753</Words>
  <Characters>4161</Characters>
  <Application>Microsoft Office Word</Application>
  <DocSecurity>0</DocSecurity>
  <Lines>101</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MDPI</dc:creator>
  <cp:keywords/>
  <dc:description/>
  <cp:lastModifiedBy>MDPI-82</cp:lastModifiedBy>
  <cp:revision>2</cp:revision>
  <dcterms:created xsi:type="dcterms:W3CDTF">2020-05-21T14:11:00Z</dcterms:created>
  <dcterms:modified xsi:type="dcterms:W3CDTF">2020-05-21T14:11:00Z</dcterms:modified>
</cp:coreProperties>
</file>